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3F69986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BA1A3D9">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6FFFE499">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项目六  个人所得税计算与申报</w:t>
            </w:r>
            <w:r>
              <w:rPr>
                <w:rFonts w:hint="eastAsia" w:ascii="微软雅黑" w:hAnsi="微软雅黑"/>
                <w:b/>
                <w:color w:val="1F4E79"/>
                <w:sz w:val="32"/>
                <w:szCs w:val="30"/>
              </w:rPr>
              <w:t>（一）</w:t>
            </w:r>
          </w:p>
        </w:tc>
      </w:tr>
      <w:tr w14:paraId="3D16ED8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24B22649">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0ABA307B">
            <w:pPr>
              <w:pStyle w:val="4"/>
              <w:ind w:firstLine="180" w:firstLineChars="100"/>
            </w:pPr>
            <w:r>
              <w:t>2课时</w:t>
            </w:r>
            <w:r>
              <w:rPr>
                <w:rFonts w:hint="eastAsia"/>
              </w:rPr>
              <w:t>（</w:t>
            </w:r>
            <w:r>
              <w:t>90</w:t>
            </w:r>
            <w:r>
              <w:rPr>
                <w:rFonts w:hint="eastAsia"/>
              </w:rPr>
              <w:t xml:space="preserve"> min）</w:t>
            </w:r>
          </w:p>
        </w:tc>
      </w:tr>
      <w:tr w14:paraId="49C9A30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73CCBE4">
            <w:pPr>
              <w:pStyle w:val="4"/>
              <w:jc w:val="center"/>
            </w:pPr>
            <w:r>
              <w:rPr>
                <w:rFonts w:ascii="微软雅黑" w:hAnsi="微软雅黑"/>
                <w:b/>
              </w:rPr>
              <w:t>教学目标</w:t>
            </w:r>
          </w:p>
        </w:tc>
        <w:tc>
          <w:tcPr>
            <w:tcW w:w="8347" w:type="dxa"/>
            <w:shd w:val="clear" w:color="auto" w:fill="FFFFFF"/>
            <w:vAlign w:val="center"/>
          </w:tcPr>
          <w:p w14:paraId="72CCB9C5">
            <w:pPr>
              <w:pStyle w:val="4"/>
              <w:ind w:firstLine="180" w:firstLineChars="100"/>
              <w:rPr>
                <w:rFonts w:ascii="微软雅黑" w:hAnsi="微软雅黑"/>
                <w:b/>
                <w:color w:val="833C0B"/>
              </w:rPr>
            </w:pPr>
            <w:r>
              <w:rPr>
                <w:rFonts w:hint="eastAsia" w:ascii="微软雅黑" w:hAnsi="微软雅黑"/>
                <w:b/>
                <w:color w:val="833C0B"/>
              </w:rPr>
              <w:t>知识技能目标：</w:t>
            </w:r>
          </w:p>
          <w:p w14:paraId="3030C118">
            <w:pPr>
              <w:pStyle w:val="4"/>
              <w:ind w:firstLine="360" w:firstLineChars="200"/>
            </w:pPr>
            <w:r>
              <w:t>（</w:t>
            </w:r>
            <w:r>
              <w:rPr>
                <w:rFonts w:hint="eastAsia"/>
              </w:rPr>
              <w:t>1）掌握个人所得税纳税人的划分</w:t>
            </w:r>
          </w:p>
          <w:p w14:paraId="56C1E51B">
            <w:pPr>
              <w:pStyle w:val="4"/>
              <w:ind w:firstLine="360" w:firstLineChars="200"/>
            </w:pPr>
            <w:r>
              <w:rPr>
                <w:rFonts w:hint="eastAsia"/>
              </w:rPr>
              <w:t>（</w:t>
            </w:r>
            <w:r>
              <w:t>2</w:t>
            </w:r>
            <w:r>
              <w:rPr>
                <w:rFonts w:hint="eastAsia"/>
              </w:rPr>
              <w:t>）掌握个人所得税的征税对象、税率和减免优惠。</w:t>
            </w:r>
          </w:p>
          <w:p w14:paraId="2DABB7AE">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6BC5B63A">
            <w:pPr>
              <w:pStyle w:val="4"/>
              <w:ind w:firstLine="360" w:firstLineChars="200"/>
              <w:rPr>
                <w:rFonts w:hint="eastAsia"/>
              </w:rPr>
            </w:pPr>
            <w:r>
              <w:rPr>
                <w:rFonts w:hint="eastAsia"/>
              </w:rPr>
              <w:t>●使学生在认清各种所得税的基础上，自觉履行纳税义务。</w:t>
            </w:r>
          </w:p>
          <w:p w14:paraId="6CE45016">
            <w:pPr>
              <w:pStyle w:val="4"/>
              <w:ind w:firstLine="360" w:firstLineChars="200"/>
              <w:rPr>
                <w:rFonts w:hint="eastAsia"/>
              </w:rPr>
            </w:pPr>
            <w:r>
              <w:rPr>
                <w:rFonts w:hint="eastAsia"/>
              </w:rPr>
              <w:t>●培养学生诚实守信的良好职业道德。</w:t>
            </w:r>
          </w:p>
          <w:p w14:paraId="309391FC">
            <w:pPr>
              <w:pStyle w:val="4"/>
              <w:ind w:firstLine="360" w:firstLineChars="200"/>
            </w:pPr>
            <w:r>
              <w:rPr>
                <w:rFonts w:hint="eastAsia"/>
              </w:rPr>
              <w:t>●培养学生履职尽责的敬业精神。</w:t>
            </w:r>
          </w:p>
        </w:tc>
      </w:tr>
      <w:tr w14:paraId="1D22779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59C0DF0C">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0065BBD3">
            <w:pPr>
              <w:pStyle w:val="4"/>
              <w:ind w:firstLine="180" w:firstLineChars="100"/>
            </w:pPr>
            <w:r>
              <w:rPr>
                <w:rFonts w:hint="eastAsia" w:ascii="微软雅黑" w:hAnsi="微软雅黑"/>
                <w:b/>
                <w:color w:val="1F4E79"/>
              </w:rPr>
              <w:t>教学重点：</w:t>
            </w:r>
            <w:r>
              <w:rPr>
                <w:rFonts w:hint="eastAsia"/>
              </w:rPr>
              <w:t>个人所得税的税务规定</w:t>
            </w:r>
          </w:p>
          <w:p w14:paraId="3050F42F">
            <w:pPr>
              <w:pStyle w:val="4"/>
              <w:ind w:firstLine="180" w:firstLineChars="100"/>
            </w:pPr>
            <w:r>
              <w:rPr>
                <w:rFonts w:hint="eastAsia" w:ascii="微软雅黑" w:hAnsi="微软雅黑"/>
                <w:b/>
                <w:color w:val="1F4E79"/>
              </w:rPr>
              <w:t>教学难点：</w:t>
            </w:r>
            <w:r>
              <w:rPr>
                <w:rFonts w:hint="eastAsia"/>
              </w:rPr>
              <w:t>熟练掌握个人所得税的税务规定</w:t>
            </w:r>
          </w:p>
        </w:tc>
      </w:tr>
      <w:tr w14:paraId="22BB3D2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E92A9E2">
            <w:pPr>
              <w:pStyle w:val="4"/>
              <w:jc w:val="center"/>
            </w:pPr>
            <w:r>
              <w:rPr>
                <w:rFonts w:ascii="微软雅黑" w:hAnsi="微软雅黑"/>
                <w:b/>
              </w:rPr>
              <w:t>教学方法</w:t>
            </w:r>
          </w:p>
        </w:tc>
        <w:tc>
          <w:tcPr>
            <w:tcW w:w="8347" w:type="dxa"/>
            <w:shd w:val="clear" w:color="auto" w:fill="FFFFFF"/>
            <w:vAlign w:val="center"/>
          </w:tcPr>
          <w:p w14:paraId="77F88F37">
            <w:pPr>
              <w:pStyle w:val="4"/>
              <w:ind w:firstLine="180" w:firstLineChars="100"/>
            </w:pPr>
            <w:r>
              <w:rPr>
                <w:rFonts w:hint="eastAsia"/>
              </w:rPr>
              <w:t>案例分析法、问答法、讨论法、讲授法</w:t>
            </w:r>
          </w:p>
        </w:tc>
      </w:tr>
      <w:tr w14:paraId="21ABBA1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4F4C7075">
            <w:pPr>
              <w:pStyle w:val="4"/>
              <w:jc w:val="center"/>
            </w:pPr>
            <w:r>
              <w:rPr>
                <w:rFonts w:ascii="微软雅黑" w:hAnsi="微软雅黑"/>
                <w:b/>
              </w:rPr>
              <w:t>教学用具</w:t>
            </w:r>
          </w:p>
        </w:tc>
        <w:tc>
          <w:tcPr>
            <w:tcW w:w="8347" w:type="dxa"/>
            <w:shd w:val="clear" w:color="auto" w:fill="FFFFFF"/>
            <w:vAlign w:val="center"/>
          </w:tcPr>
          <w:p w14:paraId="3857BD6B">
            <w:pPr>
              <w:pStyle w:val="4"/>
              <w:ind w:firstLine="180" w:firstLineChars="100"/>
            </w:pPr>
            <w:r>
              <w:rPr>
                <w:rFonts w:hint="eastAsia"/>
              </w:rPr>
              <w:t>电脑、投影仪、</w:t>
            </w:r>
            <w:r>
              <w:t>多媒体</w:t>
            </w:r>
            <w:r>
              <w:rPr>
                <w:rFonts w:hint="eastAsia"/>
              </w:rPr>
              <w:t>课件、教材</w:t>
            </w:r>
          </w:p>
        </w:tc>
      </w:tr>
      <w:tr w14:paraId="52DD2EB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A7ED0DC">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15B8AB19">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73E3DE3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FD8926D">
            <w:pPr>
              <w:pStyle w:val="4"/>
              <w:jc w:val="center"/>
              <w:rPr>
                <w:rFonts w:ascii="微软雅黑" w:hAnsi="微软雅黑"/>
                <w:b/>
              </w:rPr>
            </w:pPr>
            <w:r>
              <w:rPr>
                <w:rFonts w:hint="eastAsia" w:ascii="微软雅黑" w:hAnsi="微软雅黑"/>
                <w:b/>
              </w:rPr>
              <w:t>问题导入</w:t>
            </w:r>
          </w:p>
        </w:tc>
        <w:tc>
          <w:tcPr>
            <w:tcW w:w="8347" w:type="dxa"/>
            <w:shd w:val="clear" w:color="auto" w:fill="FFFFFF"/>
            <w:vAlign w:val="center"/>
          </w:tcPr>
          <w:p w14:paraId="17F3BD50">
            <w:pPr>
              <w:pStyle w:val="4"/>
              <w:ind w:left="200" w:leftChars="100"/>
              <w:rPr>
                <w:rFonts w:ascii="微软雅黑" w:hAnsi="微软雅黑"/>
                <w:b/>
                <w:color w:val="1F4E79"/>
              </w:rPr>
            </w:pPr>
            <w:r>
              <w:rPr>
                <w:rFonts w:hint="eastAsia" w:ascii="微软雅黑" w:hAnsi="微软雅黑"/>
                <w:b/>
                <w:color w:val="1F4E79"/>
              </w:rPr>
              <w:t>【教师】提出以下问题：</w:t>
            </w:r>
          </w:p>
          <w:p w14:paraId="4B99F8E1">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rPr>
              <w:t>个人一个月的所有工资、薪金都要交税吗？如何计税？</w:t>
            </w:r>
          </w:p>
          <w:p w14:paraId="3A65C667">
            <w:pPr>
              <w:pStyle w:val="4"/>
              <w:ind w:firstLine="164" w:firstLineChars="100"/>
              <w:rPr>
                <w:rFonts w:ascii="微软雅黑" w:hAnsi="微软雅黑"/>
                <w:b/>
                <w:color w:val="833C0B"/>
                <w:spacing w:val="-8"/>
              </w:rPr>
            </w:pPr>
            <w:r>
              <w:rPr>
                <w:rFonts w:hint="eastAsia" w:ascii="微软雅黑" w:hAnsi="微软雅黑"/>
                <w:b/>
                <w:color w:val="833C0B"/>
                <w:spacing w:val="-8"/>
              </w:rPr>
              <w:t>【学生】思考、举手回答</w:t>
            </w:r>
          </w:p>
          <w:p w14:paraId="12D0F307">
            <w:pPr>
              <w:pStyle w:val="4"/>
              <w:ind w:firstLine="180" w:firstLineChars="100"/>
            </w:pPr>
            <w:r>
              <w:rPr>
                <w:rFonts w:hint="eastAsia" w:ascii="微软雅黑" w:hAnsi="微软雅黑"/>
                <w:b/>
                <w:color w:val="1F4E79"/>
              </w:rPr>
              <w:t>【教师】通过学生的回答</w:t>
            </w:r>
            <w:r>
              <w:rPr>
                <w:rFonts w:ascii="微软雅黑" w:hAnsi="微软雅黑"/>
                <w:b/>
                <w:color w:val="1F4E79"/>
              </w:rPr>
              <w:t>引入</w:t>
            </w:r>
            <w:r>
              <w:rPr>
                <w:rFonts w:hint="eastAsia" w:ascii="微软雅黑" w:hAnsi="微软雅黑"/>
                <w:b/>
                <w:color w:val="1F4E79"/>
              </w:rPr>
              <w:t>要讲的</w:t>
            </w:r>
            <w:r>
              <w:rPr>
                <w:rFonts w:ascii="微软雅黑" w:hAnsi="微软雅黑"/>
                <w:b/>
                <w:color w:val="1F4E79"/>
              </w:rPr>
              <w:t>知识</w:t>
            </w:r>
          </w:p>
        </w:tc>
      </w:tr>
      <w:tr w14:paraId="5C0D5F3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176A6599">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0319B0B4">
            <w:pPr>
              <w:pStyle w:val="4"/>
              <w:ind w:firstLine="180" w:firstLineChars="100"/>
              <w:rPr>
                <w:rFonts w:hint="eastAsia" w:ascii="微软雅黑" w:hAnsi="微软雅黑"/>
                <w:b/>
                <w:color w:val="1F4E79"/>
              </w:rPr>
            </w:pPr>
            <w:r>
              <w:rPr>
                <w:rFonts w:hint="eastAsia" w:ascii="微软雅黑" w:hAnsi="微软雅黑"/>
                <w:b/>
                <w:color w:val="1F4E79"/>
              </w:rPr>
              <w:t>【教师】通过学生的回答</w:t>
            </w:r>
            <w:r>
              <w:rPr>
                <w:rFonts w:ascii="微软雅黑" w:hAnsi="微软雅黑"/>
                <w:b/>
                <w:color w:val="1F4E79"/>
              </w:rPr>
              <w:t>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，介绍什么是个人所得税、个人所得税的纳税人、征税对象、税率和减免优惠等内容</w:t>
            </w:r>
          </w:p>
          <w:p w14:paraId="15B967F6">
            <w:pPr>
              <w:pStyle w:val="4"/>
              <w:ind w:firstLine="180" w:firstLineChars="100"/>
              <w:jc w:val="center"/>
              <w:rPr>
                <w:rFonts w:hint="default" w:ascii="微软雅黑" w:hAnsi="微软雅黑" w:eastAsia="微软雅黑" w:cs="MS Mincho"/>
                <w:b/>
                <w:sz w:val="18"/>
                <w:szCs w:val="18"/>
                <w:lang w:val="en-US" w:eastAsia="zh-CN" w:bidi="ar-SA"/>
              </w:rPr>
            </w:pPr>
            <w:r>
              <w:rPr>
                <w:rFonts w:hint="eastAsia" w:ascii="微软雅黑" w:hAnsi="微软雅黑" w:eastAsia="微软雅黑" w:cs="MS Mincho"/>
                <w:b/>
                <w:sz w:val="18"/>
                <w:szCs w:val="18"/>
                <w:lang w:val="en-US" w:eastAsia="zh-CN" w:bidi="ar-SA"/>
              </w:rPr>
              <w:t>任务一  个人所得税法规解读</w:t>
            </w:r>
          </w:p>
          <w:p w14:paraId="6802A3B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【教师】讲解什么是个人所得税</w:t>
            </w:r>
          </w:p>
          <w:p w14:paraId="5B61E411">
            <w:pPr>
              <w:pStyle w:val="4"/>
              <w:ind w:firstLine="360" w:firstLineChars="200"/>
              <w:rPr>
                <w:lang w:bidi="ar"/>
              </w:rPr>
            </w:pPr>
            <w:r>
              <w:rPr>
                <w:rFonts w:hint="eastAsia"/>
                <w:lang w:bidi="ar"/>
              </w:rPr>
              <w:t>个人所得税是以个人（自然人）取得的各项应税所得为征税对象所征收的一种税。征收个人所得税在增加政府财政收入，提高公民纳税意识，调节个人收入分配差距等方面具有重要作用。</w:t>
            </w:r>
          </w:p>
          <w:p w14:paraId="6D79127E">
            <w:pPr>
              <w:pStyle w:val="5"/>
              <w:numPr>
                <w:ilvl w:val="0"/>
                <w:numId w:val="1"/>
              </w:numPr>
              <w:spacing w:before="20" w:after="20" w:line="240" w:lineRule="auto"/>
              <w:ind w:firstLineChars="0"/>
              <w:rPr>
                <w:rFonts w:ascii="Times New Roman" w:hAnsi="Times New Roman" w:eastAsia="微软雅黑"/>
                <w:b/>
                <w:sz w:val="18"/>
                <w:lang w:bidi="ar"/>
              </w:rPr>
            </w:pPr>
            <w:r>
              <w:rPr>
                <w:rFonts w:hint="eastAsia" w:ascii="Times New Roman" w:hAnsi="Times New Roman" w:eastAsia="微软雅黑"/>
                <w:b/>
                <w:sz w:val="18"/>
                <w:lang w:bidi="ar"/>
              </w:rPr>
              <w:t>纳税</w:t>
            </w:r>
            <w:r>
              <w:rPr>
                <w:rFonts w:hint="eastAsia" w:ascii="Times New Roman" w:hAnsi="Times New Roman" w:eastAsia="微软雅黑"/>
                <w:b/>
                <w:sz w:val="18"/>
                <w:lang w:val="en-US" w:eastAsia="zh-CN" w:bidi="ar"/>
              </w:rPr>
              <w:t>义务</w:t>
            </w:r>
            <w:r>
              <w:rPr>
                <w:rFonts w:hint="eastAsia" w:ascii="Times New Roman" w:hAnsi="Times New Roman" w:eastAsia="微软雅黑"/>
                <w:b/>
                <w:sz w:val="18"/>
                <w:lang w:bidi="ar"/>
              </w:rPr>
              <w:t>人</w:t>
            </w:r>
          </w:p>
          <w:p w14:paraId="63A3C87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【教师】讲解个人所得税的纳税人</w:t>
            </w:r>
          </w:p>
          <w:p w14:paraId="684ED79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个人所得税的纳税人，包括中国公民、个体工商户、个人独资企业、合伙企业投资者、在中国有所得的外籍人员等。根据相关判定标准，个人所得税的纳税人区分为居民个人和非居民个人，分别承担不同的纳税义务。居民个人和非居民个人的判定标准、纳税义务具体如表4-1所示。</w:t>
            </w:r>
          </w:p>
          <w:p w14:paraId="4508FFF2">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表4-1  居民个人和非居民个人的判定标准、纳税义务</w:t>
            </w:r>
          </w:p>
          <w:tbl>
            <w:tblPr>
              <w:tblStyle w:val="2"/>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4197"/>
              <w:gridCol w:w="1984"/>
            </w:tblGrid>
            <w:tr w14:paraId="5F3D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7" w:type="pct"/>
                  <w:shd w:val="clear" w:color="auto" w:fill="DAE3F4" w:themeFill="accent1" w:themeFillTint="33"/>
                  <w:vAlign w:val="center"/>
                </w:tcPr>
                <w:p w14:paraId="499A9D53">
                  <w:pPr>
                    <w:pStyle w:val="4"/>
                    <w:jc w:val="center"/>
                  </w:pPr>
                  <w:r>
                    <w:rPr>
                      <w:rFonts w:hint="eastAsia"/>
                    </w:rPr>
                    <w:t>纳税人类别</w:t>
                  </w:r>
                </w:p>
              </w:tc>
              <w:tc>
                <w:tcPr>
                  <w:tcW w:w="2847" w:type="pct"/>
                  <w:shd w:val="clear" w:color="auto" w:fill="DAE3F4" w:themeFill="accent1" w:themeFillTint="33"/>
                  <w:vAlign w:val="center"/>
                </w:tcPr>
                <w:p w14:paraId="68B170C4">
                  <w:pPr>
                    <w:pStyle w:val="4"/>
                    <w:jc w:val="center"/>
                  </w:pPr>
                  <w:r>
                    <w:rPr>
                      <w:rFonts w:hint="eastAsia"/>
                    </w:rPr>
                    <w:t>判定标准</w:t>
                  </w:r>
                </w:p>
              </w:tc>
              <w:tc>
                <w:tcPr>
                  <w:tcW w:w="1346" w:type="pct"/>
                  <w:shd w:val="clear" w:color="auto" w:fill="DAE3F4" w:themeFill="accent1" w:themeFillTint="33"/>
                  <w:vAlign w:val="center"/>
                </w:tcPr>
                <w:p w14:paraId="14BA2DE5">
                  <w:pPr>
                    <w:pStyle w:val="4"/>
                    <w:jc w:val="center"/>
                  </w:pPr>
                  <w:r>
                    <w:rPr>
                      <w:rFonts w:hint="eastAsia"/>
                    </w:rPr>
                    <w:t>纳税义务</w:t>
                  </w:r>
                </w:p>
              </w:tc>
            </w:tr>
            <w:tr w14:paraId="6EFE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7" w:type="pct"/>
                  <w:shd w:val="clear" w:color="auto" w:fill="auto"/>
                  <w:vAlign w:val="center"/>
                </w:tcPr>
                <w:p w14:paraId="412555F1">
                  <w:pPr>
                    <w:pStyle w:val="4"/>
                    <w:jc w:val="center"/>
                  </w:pPr>
                  <w:r>
                    <w:rPr>
                      <w:rFonts w:hint="eastAsia"/>
                    </w:rPr>
                    <w:t>居民个人</w:t>
                  </w:r>
                </w:p>
              </w:tc>
              <w:tc>
                <w:tcPr>
                  <w:tcW w:w="2847" w:type="pct"/>
                  <w:shd w:val="clear" w:color="auto" w:fill="auto"/>
                  <w:vAlign w:val="center"/>
                </w:tcPr>
                <w:p w14:paraId="2DF0A074">
                  <w:pPr>
                    <w:pStyle w:val="4"/>
                    <w:ind w:firstLine="180" w:firstLineChars="100"/>
                  </w:pPr>
                  <w:r>
                    <w:rPr>
                      <w:rFonts w:hint="eastAsia"/>
                    </w:rPr>
                    <w:t>需要符合以下两条标准中的其中一条：</w:t>
                  </w:r>
                </w:p>
                <w:p w14:paraId="1AFF4955">
                  <w:pPr>
                    <w:pStyle w:val="4"/>
                    <w:ind w:firstLine="180" w:firstLineChars="100"/>
                  </w:pPr>
                  <w:r>
                    <w:rPr>
                      <w:rFonts w:hint="eastAsia"/>
                    </w:rPr>
                    <w:t>（1）在中国境内有住所，即因户籍、家庭、经济利益关系而在中国境内习惯性居住。</w:t>
                  </w:r>
                </w:p>
                <w:p w14:paraId="1F6C9056">
                  <w:pPr>
                    <w:pStyle w:val="4"/>
                    <w:ind w:firstLine="180" w:firstLineChars="100"/>
                  </w:pPr>
                  <w:r>
                    <w:rPr>
                      <w:rFonts w:hint="eastAsia"/>
                    </w:rPr>
                    <w:t>（2）在中国境内无住所而</w:t>
                  </w:r>
                  <w:r>
                    <w:t>一个纳税年度</w:t>
                  </w:r>
                  <w:r>
                    <w:rPr>
                      <w:rFonts w:hint="eastAsia"/>
                    </w:rPr>
                    <w:t>（自</w:t>
                  </w:r>
                  <w:r>
                    <w:rPr>
                      <w:rFonts w:hint="eastAsia"/>
                      <w:spacing w:val="-2"/>
                    </w:rPr>
                    <w:t>公历1月1日起至12月</w:t>
                  </w:r>
                  <w:r>
                    <w:rPr>
                      <w:rFonts w:hint="eastAsia"/>
                    </w:rPr>
                    <w:t>31日止）</w:t>
                  </w:r>
                  <w:r>
                    <w:t>内在中国境内居住</w:t>
                  </w:r>
                  <w:r>
                    <w:rPr>
                      <w:spacing w:val="-2"/>
                    </w:rPr>
                    <w:t>累计满</w:t>
                  </w:r>
                  <w:r>
                    <w:rPr>
                      <w:rFonts w:hint="eastAsia"/>
                      <w:spacing w:val="-2"/>
                    </w:rPr>
                    <w:t>183</w:t>
                  </w:r>
                  <w:r>
                    <w:rPr>
                      <w:spacing w:val="-2"/>
                    </w:rPr>
                    <w:t>天</w:t>
                  </w:r>
                </w:p>
              </w:tc>
              <w:tc>
                <w:tcPr>
                  <w:tcW w:w="1346" w:type="pct"/>
                  <w:vAlign w:val="center"/>
                </w:tcPr>
                <w:p w14:paraId="243FAC0C">
                  <w:pPr>
                    <w:pStyle w:val="4"/>
                    <w:ind w:firstLine="180" w:firstLineChars="100"/>
                  </w:pPr>
                  <w:r>
                    <w:rPr>
                      <w:rFonts w:hint="eastAsia"/>
                    </w:rPr>
                    <w:t>无限纳税义务，即从中国境内和中国境外取得的所得都要缴纳个人所得税</w:t>
                  </w:r>
                </w:p>
              </w:tc>
            </w:tr>
            <w:tr w14:paraId="18DEC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7" w:type="pct"/>
                  <w:shd w:val="clear" w:color="auto" w:fill="auto"/>
                  <w:vAlign w:val="center"/>
                </w:tcPr>
                <w:p w14:paraId="5DE9DFD4">
                  <w:pPr>
                    <w:pStyle w:val="4"/>
                    <w:jc w:val="center"/>
                  </w:pPr>
                  <w:r>
                    <w:rPr>
                      <w:rFonts w:hint="eastAsia"/>
                    </w:rPr>
                    <w:t>非居民个人</w:t>
                  </w:r>
                </w:p>
              </w:tc>
              <w:tc>
                <w:tcPr>
                  <w:tcW w:w="2847" w:type="pct"/>
                  <w:shd w:val="clear" w:color="auto" w:fill="auto"/>
                  <w:vAlign w:val="center"/>
                </w:tcPr>
                <w:p w14:paraId="5FAF864D">
                  <w:pPr>
                    <w:pStyle w:val="4"/>
                    <w:ind w:firstLine="180" w:firstLineChars="100"/>
                  </w:pPr>
                  <w:r>
                    <w:rPr>
                      <w:rFonts w:hint="eastAsia"/>
                    </w:rPr>
                    <w:t>必须同时符合以下两条标准：</w:t>
                  </w:r>
                </w:p>
                <w:p w14:paraId="7FF2F2C5">
                  <w:pPr>
                    <w:pStyle w:val="4"/>
                    <w:ind w:left="180"/>
                  </w:pPr>
                  <w:r>
                    <w:rPr>
                      <w:rFonts w:hint="eastAsia"/>
                    </w:rPr>
                    <w:t>（1）在中国境内无住所。</w:t>
                  </w:r>
                </w:p>
                <w:p w14:paraId="1E04BDC5">
                  <w:pPr>
                    <w:pStyle w:val="4"/>
                    <w:ind w:firstLine="176" w:firstLineChars="100"/>
                    <w:rPr>
                      <w:spacing w:val="-2"/>
                    </w:rPr>
                  </w:pPr>
                  <w:r>
                    <w:rPr>
                      <w:rFonts w:hint="eastAsia"/>
                      <w:spacing w:val="-2"/>
                    </w:rPr>
                    <w:t>（2）在中国境内不居住或</w:t>
                  </w:r>
                  <w:r>
                    <w:rPr>
                      <w:spacing w:val="-2"/>
                    </w:rPr>
                    <w:t>一个纳税年度内在</w:t>
                  </w:r>
                  <w:r>
                    <w:rPr>
                      <w:rFonts w:hint="eastAsia"/>
                      <w:spacing w:val="-2"/>
                    </w:rPr>
                    <w:t>中国</w:t>
                  </w:r>
                  <w:r>
                    <w:rPr>
                      <w:spacing w:val="-2"/>
                    </w:rPr>
                    <w:t>境内</w:t>
                  </w:r>
                  <w:r>
                    <w:rPr>
                      <w:rFonts w:hint="eastAsia"/>
                      <w:spacing w:val="-2"/>
                    </w:rPr>
                    <w:t>居住累计不满183天</w:t>
                  </w:r>
                </w:p>
              </w:tc>
              <w:tc>
                <w:tcPr>
                  <w:tcW w:w="1346" w:type="pct"/>
                  <w:vAlign w:val="center"/>
                </w:tcPr>
                <w:p w14:paraId="429289F5">
                  <w:pPr>
                    <w:pStyle w:val="4"/>
                    <w:ind w:firstLine="180" w:firstLineChars="100"/>
                  </w:pPr>
                  <w:r>
                    <w:rPr>
                      <w:rFonts w:hint="eastAsia"/>
                    </w:rPr>
                    <w:t>有限纳税义务，即从中国境内取得的所得要缴纳个人所得税</w:t>
                  </w:r>
                </w:p>
              </w:tc>
            </w:tr>
          </w:tbl>
          <w:p w14:paraId="6A01721A">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30689F7B">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【教师】组织学生扫码观看“个人所得税的征收模式”视频（详见教材），加深学生对个人所得税的征收模式的理解。</w:t>
            </w:r>
          </w:p>
          <w:p w14:paraId="1B31BBC5">
            <w:pPr>
              <w:shd w:val="clear" w:color="auto" w:fill="FDF3ED"/>
              <w:ind w:firstLine="361" w:firstLineChars="200"/>
              <w:rPr>
                <w:rFonts w:hint="eastAsia"/>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7384554E">
            <w:pPr>
              <w:pStyle w:val="4"/>
              <w:shd w:val="clear" w:color="auto" w:fill="FDF3ED"/>
              <w:ind w:firstLine="360" w:firstLineChars="200"/>
              <w:rPr>
                <w:rFonts w:ascii="MS Mincho" w:hAnsi="MS Mincho" w:cs="MS Mincho"/>
                <w:b/>
              </w:rPr>
            </w:pPr>
            <w:r>
              <w:rPr>
                <w:rFonts w:hint="eastAsia"/>
                <w:b/>
              </w:rPr>
              <w:t>【课堂互动】</w:t>
            </w:r>
          </w:p>
          <w:p w14:paraId="173AF5B5">
            <w:pPr>
              <w:pStyle w:val="4"/>
              <w:shd w:val="clear" w:color="auto" w:fill="FDF3ED"/>
              <w:ind w:firstLine="360" w:firstLineChars="200"/>
              <w:rPr>
                <w:b/>
              </w:rPr>
            </w:pPr>
            <w:r>
              <w:rPr>
                <w:rFonts w:ascii="MS Mincho" w:hAnsi="MS Mincho" w:cs="MS Mincho"/>
                <w:b/>
              </w:rPr>
              <w:t>✈</w:t>
            </w:r>
            <w:r>
              <w:rPr>
                <w:rFonts w:hint="eastAsia"/>
                <w:b/>
              </w:rPr>
              <w:t>【教师】提出问题</w:t>
            </w:r>
          </w:p>
          <w:p w14:paraId="272B3F6C">
            <w:pPr>
              <w:pStyle w:val="4"/>
              <w:shd w:val="clear" w:color="auto" w:fill="FDF3ED"/>
              <w:ind w:firstLine="360" w:firstLineChars="200"/>
            </w:pPr>
            <w:r>
              <w:t>你是如何理解习惯性居住的？</w:t>
            </w:r>
          </w:p>
          <w:p w14:paraId="1BD4679C">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0329589C">
            <w:pPr>
              <w:pStyle w:val="4"/>
              <w:shd w:val="clear" w:color="auto" w:fill="FDF3ED"/>
              <w:ind w:firstLine="360" w:firstLineChars="200"/>
              <w:rPr>
                <w:b/>
              </w:rPr>
            </w:pPr>
            <w:r>
              <w:rPr>
                <w:rFonts w:ascii="MS Mincho" w:hAnsi="MS Mincho" w:cs="MS Mincho"/>
                <w:b/>
              </w:rPr>
              <w:t>✈</w:t>
            </w:r>
            <w:r>
              <w:rPr>
                <w:rFonts w:hint="eastAsia"/>
                <w:b/>
              </w:rPr>
              <w:t>【教师】总结学生的回答</w:t>
            </w:r>
          </w:p>
          <w:p w14:paraId="66AF2C8C">
            <w:pPr>
              <w:pStyle w:val="4"/>
              <w:shd w:val="clear" w:color="auto" w:fill="FDF3ED"/>
              <w:ind w:firstLine="360" w:firstLineChars="200"/>
            </w:pPr>
            <w:r>
              <w:rPr>
                <w:rFonts w:hint="eastAsia"/>
              </w:rPr>
              <w:t>习惯性居住是指个人在学习、工作、探亲等原因消除之后，没有理由在其他地方继续居留时，所要回到的地方，而不是指实际居住地或在某一个特定时期内的居住地。</w:t>
            </w:r>
          </w:p>
          <w:p w14:paraId="42902CE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661B5C9">
            <w:pPr>
              <w:pStyle w:val="5"/>
              <w:numPr>
                <w:ilvl w:val="0"/>
                <w:numId w:val="1"/>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征税对象</w:t>
            </w:r>
          </w:p>
          <w:p w14:paraId="1C66EF2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【教师】讲解个人所得税的征对象</w:t>
            </w:r>
          </w:p>
          <w:p w14:paraId="451EC16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个人所得税的征税对象是纳税人取得的各项应税所得。《中华人民共和国个人所得税法》（以下简称《个人所得税法》）中列举的应税所得项目共有9项，包括工资、薪金所得，劳务报酬所得，稿酬所得，特许权使用费所得，经营所得，利息、股息、红利所得，财产租赁所得，财产转让所得，偶然所得。</w:t>
            </w:r>
          </w:p>
          <w:p w14:paraId="329EAD12">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（一）工资、薪金所得</w:t>
            </w:r>
          </w:p>
          <w:p w14:paraId="6C793E5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工资、薪金所得是指个人因任职或受雇而取得的工资、薪金、奖金、年终加薪、劳动分红、津贴、补贴及与任职或受雇有关的其他所得。</w:t>
            </w:r>
          </w:p>
          <w:p w14:paraId="0F6B8814">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（二）劳务报酬所得</w:t>
            </w:r>
          </w:p>
          <w:p w14:paraId="05CF6FA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劳务报酬所得是指个人从事劳务取得的所得，包括从事设计、装潢、安装、制图、化验、测试、医疗、法律、会计、咨询、讲学、翻译、审稿、书画、雕刻、影视、录音、录像、演出、表演、广告、展览、技术服务、介绍服务、经纪服务、代办服务及其他劳务取得的所得。</w:t>
            </w:r>
          </w:p>
          <w:p w14:paraId="47409BD0">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（三）稿酬所得</w:t>
            </w:r>
          </w:p>
          <w:p w14:paraId="7AE5D59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稿酬所得是指个人因其作品以图书、报刊等形式出版、发表而取得的所得。作品包括文学作品、书画作品、摄影作品及其他作品。</w:t>
            </w:r>
          </w:p>
          <w:p w14:paraId="3C988BA7">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（四）特许权使用费所得</w:t>
            </w:r>
          </w:p>
          <w:p w14:paraId="38F39110">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特许权使用费所得是指个人提供专利权、商标权、著作权、非专利技术及其他特许权的使用权取得的所得。其中，提供著作权的使用权取得的所得，不包括稿酬所得。</w:t>
            </w:r>
          </w:p>
          <w:p w14:paraId="6FE77D6C">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（五）经营所得</w:t>
            </w:r>
          </w:p>
          <w:p w14:paraId="42C28DC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经营所得是指下列所得。</w:t>
            </w:r>
          </w:p>
          <w:p w14:paraId="17E1F1C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（1）个体工商户从事生产经营活动取得的所得，个人独资企业投资人、合伙企业的个人合伙人取得来源于境内注册的个人独资企业、合伙企业生产经营的所得。</w:t>
            </w:r>
          </w:p>
          <w:p w14:paraId="65A4FD4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（2）个人依法从事办学、医疗、咨询及其他有偿服务活动取得的所得。</w:t>
            </w:r>
          </w:p>
          <w:p w14:paraId="3F2D74E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（3）个人对企业、事业单位承包经营、承租经营及转包、转租取得的所得。</w:t>
            </w:r>
          </w:p>
          <w:p w14:paraId="5B25847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（4）个人从事其他生产经营活动取得的所得。</w:t>
            </w:r>
          </w:p>
          <w:p w14:paraId="0AAE0249">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（六）利息、股息、红利所得</w:t>
            </w:r>
          </w:p>
          <w:p w14:paraId="57AF87F0">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利息、股息、红利所得是指个人拥有债权、股权而取得的利息、股息、红利所得。</w:t>
            </w:r>
          </w:p>
          <w:p w14:paraId="42F63B06">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（七）财产租赁所得</w:t>
            </w:r>
          </w:p>
          <w:p w14:paraId="4FE2C70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财产租赁所得是指个人出租不动产、机器设备、车船及其他财产取得的所得。个人取得的财产转租收入，按财产租赁所得缴纳个人所得税。</w:t>
            </w:r>
          </w:p>
          <w:p w14:paraId="5FE1D699">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（八）财产转让所得</w:t>
            </w:r>
          </w:p>
          <w:p w14:paraId="3A7201F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财产转让所得是指个人转让有价证券、股权、合伙企业中的财产份额、不动产、机器设备、车船及其他财产取得的所得。</w:t>
            </w:r>
          </w:p>
          <w:p w14:paraId="1EC0B10D">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（九）偶然所得</w:t>
            </w:r>
          </w:p>
          <w:p w14:paraId="50BE6C5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偶然所得是指个人得奖、中奖、中彩及其他具有偶然性质的所得。</w:t>
            </w:r>
          </w:p>
          <w:p w14:paraId="3EF3D4FC">
            <w:pPr>
              <w:pStyle w:val="4"/>
              <w:shd w:val="clear" w:color="auto" w:fill="FDF3ED"/>
              <w:ind w:firstLine="360" w:firstLineChars="200"/>
              <w:rPr>
                <w:rFonts w:ascii="MS Mincho" w:hAnsi="MS Mincho" w:cs="MS Mincho"/>
                <w:b/>
              </w:rPr>
            </w:pPr>
            <w:r>
              <w:rPr>
                <w:rFonts w:hint="eastAsia"/>
                <w:b/>
              </w:rPr>
              <w:t>【知识拓展】</w:t>
            </w:r>
          </w:p>
          <w:p w14:paraId="54755B7E">
            <w:pPr>
              <w:pStyle w:val="4"/>
              <w:shd w:val="clear" w:color="auto" w:fill="FDF3ED"/>
              <w:ind w:firstLine="360" w:firstLineChars="200"/>
              <w:rPr>
                <w:b/>
              </w:rPr>
            </w:pPr>
            <w:r>
              <w:rPr>
                <w:rFonts w:ascii="MS Mincho" w:hAnsi="MS Mincho" w:cs="MS Mincho"/>
                <w:b/>
              </w:rPr>
              <w:t>✈</w:t>
            </w:r>
            <w:r>
              <w:rPr>
                <w:rFonts w:hint="eastAsia"/>
                <w:b/>
              </w:rPr>
              <w:t>【教师】讲解个人所得税征税对象所得来源的确定</w:t>
            </w:r>
          </w:p>
          <w:p w14:paraId="35638192">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除国务院财政、税务主管部门另有规定外，下列所得，不论支付地点是否在中国境内，均为来源于中国境内的所得。</w:t>
            </w:r>
          </w:p>
          <w:p w14:paraId="3EA7860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（1）因任职、受雇、履约等在中国境内提供劳务取得的所得。</w:t>
            </w:r>
          </w:p>
          <w:p w14:paraId="12CFDA9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（2）将财产出租给承租人在中国境内使用而取得的所得。</w:t>
            </w:r>
          </w:p>
          <w:p w14:paraId="7DD19FB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（3）许可各种特许权在中国境内使用而取得的所得。</w:t>
            </w:r>
          </w:p>
          <w:p w14:paraId="40AA9BA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（4）转让中国境内的不动产等财产或者在中国境内转让其他财产取得的所得。</w:t>
            </w:r>
          </w:p>
          <w:p w14:paraId="542646B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（5）从中国境内的企业、事业单位、其他组织及居民个人处取得的利息、股息、红利所得。</w:t>
            </w:r>
          </w:p>
          <w:p w14:paraId="3621AB92">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40BEB382">
            <w:pPr>
              <w:pStyle w:val="5"/>
              <w:numPr>
                <w:ilvl w:val="0"/>
                <w:numId w:val="1"/>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税率</w:t>
            </w:r>
          </w:p>
          <w:p w14:paraId="3A52AB67">
            <w:pPr>
              <w:pStyle w:val="5"/>
              <w:numPr>
                <w:ilvl w:val="0"/>
                <w:numId w:val="2"/>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综合所得适用税率</w:t>
            </w:r>
          </w:p>
          <w:p w14:paraId="7CFE6DDA">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【教师】讲解个人综合所得适用税率</w:t>
            </w:r>
          </w:p>
          <w:p w14:paraId="7B226F4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居民个人每一纳税年度内取得的综合所得包括工资、薪金所得，劳务报酬所得，稿酬所得和特许权使用费所得。居民个人每一纳税年度内取得的综合所得适用七级超额累进税率，税率为3%～45%，具体如表</w:t>
            </w:r>
            <w:r>
              <w:rPr>
                <w:rFonts w:hint="eastAsia" w:ascii="Times New Roman" w:hAnsi="Times New Roman" w:eastAsia="微软雅黑"/>
                <w:sz w:val="18"/>
                <w:lang w:val="en-US" w:eastAsia="zh-CN"/>
              </w:rPr>
              <w:t>6</w:t>
            </w:r>
            <w:r>
              <w:rPr>
                <w:rFonts w:hint="eastAsia" w:ascii="Times New Roman" w:hAnsi="Times New Roman" w:eastAsia="微软雅黑"/>
                <w:sz w:val="18"/>
              </w:rPr>
              <w:t>-</w:t>
            </w:r>
            <w:r>
              <w:rPr>
                <w:rFonts w:hint="eastAsia" w:ascii="Times New Roman" w:hAnsi="Times New Roman" w:eastAsia="微软雅黑"/>
                <w:sz w:val="18"/>
                <w:lang w:val="en-US" w:eastAsia="zh-CN"/>
              </w:rPr>
              <w:t>4</w:t>
            </w:r>
            <w:r>
              <w:rPr>
                <w:rFonts w:hint="eastAsia" w:ascii="Times New Roman" w:hAnsi="Times New Roman" w:eastAsia="微软雅黑"/>
                <w:sz w:val="18"/>
              </w:rPr>
              <w:t>所示。</w:t>
            </w:r>
          </w:p>
          <w:p w14:paraId="2D30DFBA">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表</w:t>
            </w:r>
            <w:r>
              <w:rPr>
                <w:rFonts w:hint="eastAsia" w:ascii="Times New Roman" w:hAnsi="Times New Roman" w:eastAsia="微软雅黑"/>
                <w:sz w:val="18"/>
                <w:lang w:val="en-US" w:eastAsia="zh-CN"/>
              </w:rPr>
              <w:t>6</w:t>
            </w:r>
            <w:r>
              <w:rPr>
                <w:rFonts w:hint="eastAsia" w:ascii="Times New Roman" w:hAnsi="Times New Roman" w:eastAsia="微软雅黑"/>
                <w:sz w:val="18"/>
              </w:rPr>
              <w:t>-</w:t>
            </w:r>
            <w:r>
              <w:rPr>
                <w:rFonts w:hint="eastAsia" w:ascii="Times New Roman" w:hAnsi="Times New Roman" w:eastAsia="微软雅黑"/>
                <w:sz w:val="18"/>
                <w:lang w:val="en-US" w:eastAsia="zh-CN"/>
              </w:rPr>
              <w:t>4</w:t>
            </w:r>
            <w:r>
              <w:rPr>
                <w:rFonts w:hint="eastAsia" w:ascii="Times New Roman" w:hAnsi="Times New Roman" w:eastAsia="微软雅黑"/>
                <w:sz w:val="18"/>
              </w:rPr>
              <w:t xml:space="preserve">  综合所得个人所得税税率表</w:t>
            </w:r>
          </w:p>
          <w:tbl>
            <w:tblPr>
              <w:tblStyle w:val="2"/>
              <w:tblW w:w="7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3498"/>
              <w:gridCol w:w="1418"/>
              <w:gridCol w:w="1275"/>
            </w:tblGrid>
            <w:tr w14:paraId="1CDD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shd w:val="clear" w:color="auto" w:fill="DAE3F4" w:themeFill="accent1" w:themeFillTint="33"/>
                  <w:vAlign w:val="center"/>
                </w:tcPr>
                <w:p w14:paraId="2DD19928">
                  <w:pPr>
                    <w:pStyle w:val="4"/>
                    <w:jc w:val="center"/>
                  </w:pPr>
                  <w:r>
                    <w:rPr>
                      <w:rFonts w:hint="eastAsia"/>
                    </w:rPr>
                    <w:t>级数</w:t>
                  </w:r>
                </w:p>
              </w:tc>
              <w:tc>
                <w:tcPr>
                  <w:tcW w:w="3498" w:type="dxa"/>
                  <w:shd w:val="clear" w:color="auto" w:fill="DAE3F4" w:themeFill="accent1" w:themeFillTint="33"/>
                  <w:vAlign w:val="center"/>
                </w:tcPr>
                <w:p w14:paraId="06C0FB4C">
                  <w:pPr>
                    <w:pStyle w:val="4"/>
                    <w:jc w:val="center"/>
                  </w:pPr>
                  <w:r>
                    <w:rPr>
                      <w:rFonts w:hint="eastAsia"/>
                    </w:rPr>
                    <w:t>全年应纳税所得额</w:t>
                  </w:r>
                </w:p>
              </w:tc>
              <w:tc>
                <w:tcPr>
                  <w:tcW w:w="1418" w:type="dxa"/>
                  <w:shd w:val="clear" w:color="auto" w:fill="DAE3F4" w:themeFill="accent1" w:themeFillTint="33"/>
                  <w:vAlign w:val="center"/>
                </w:tcPr>
                <w:p w14:paraId="3D329FBF">
                  <w:pPr>
                    <w:pStyle w:val="4"/>
                    <w:jc w:val="center"/>
                    <w:rPr>
                      <w:spacing w:val="-6"/>
                    </w:rPr>
                  </w:pPr>
                  <w:r>
                    <w:rPr>
                      <w:rFonts w:hint="eastAsia"/>
                      <w:spacing w:val="-6"/>
                    </w:rPr>
                    <w:t>税率（%）</w:t>
                  </w:r>
                </w:p>
              </w:tc>
              <w:tc>
                <w:tcPr>
                  <w:tcW w:w="1275" w:type="dxa"/>
                  <w:shd w:val="clear" w:color="auto" w:fill="DAE3F4" w:themeFill="accent1" w:themeFillTint="33"/>
                  <w:vAlign w:val="center"/>
                </w:tcPr>
                <w:p w14:paraId="71A7E159">
                  <w:pPr>
                    <w:pStyle w:val="4"/>
                    <w:jc w:val="center"/>
                    <w:rPr>
                      <w:spacing w:val="-6"/>
                    </w:rPr>
                  </w:pPr>
                  <w:r>
                    <w:rPr>
                      <w:rFonts w:hint="eastAsia"/>
                      <w:spacing w:val="-6"/>
                    </w:rPr>
                    <w:t>速算扣除数</w:t>
                  </w:r>
                </w:p>
              </w:tc>
            </w:tr>
            <w:tr w14:paraId="0E9DD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3651BB8C">
                  <w:pPr>
                    <w:pStyle w:val="4"/>
                    <w:jc w:val="center"/>
                  </w:pPr>
                  <w:r>
                    <w:rPr>
                      <w:rFonts w:hint="eastAsia"/>
                    </w:rPr>
                    <w:t>1</w:t>
                  </w:r>
                </w:p>
              </w:tc>
              <w:tc>
                <w:tcPr>
                  <w:tcW w:w="3498" w:type="dxa"/>
                  <w:vAlign w:val="center"/>
                </w:tcPr>
                <w:p w14:paraId="216B3577">
                  <w:pPr>
                    <w:pStyle w:val="4"/>
                    <w:ind w:firstLine="180" w:firstLineChars="100"/>
                  </w:pPr>
                  <w:r>
                    <w:rPr>
                      <w:rFonts w:hint="eastAsia"/>
                    </w:rPr>
                    <w:t>不超过36 000元的</w:t>
                  </w:r>
                </w:p>
              </w:tc>
              <w:tc>
                <w:tcPr>
                  <w:tcW w:w="1418" w:type="dxa"/>
                  <w:vAlign w:val="center"/>
                </w:tcPr>
                <w:p w14:paraId="6810C93D">
                  <w:pPr>
                    <w:pStyle w:val="4"/>
                    <w:jc w:val="center"/>
                  </w:pPr>
                  <w:r>
                    <w:rPr>
                      <w:rFonts w:hint="eastAsia"/>
                    </w:rPr>
                    <w:t>3</w:t>
                  </w:r>
                </w:p>
              </w:tc>
              <w:tc>
                <w:tcPr>
                  <w:tcW w:w="1275" w:type="dxa"/>
                  <w:shd w:val="clear" w:color="auto" w:fill="auto"/>
                  <w:vAlign w:val="center"/>
                </w:tcPr>
                <w:p w14:paraId="193F5AB3">
                  <w:pPr>
                    <w:pStyle w:val="4"/>
                    <w:jc w:val="center"/>
                    <w:rPr>
                      <w:szCs w:val="24"/>
                    </w:rPr>
                  </w:pPr>
                  <w:r>
                    <w:rPr>
                      <w:rFonts w:hint="eastAsia"/>
                      <w:szCs w:val="24"/>
                    </w:rPr>
                    <w:t>0</w:t>
                  </w:r>
                </w:p>
              </w:tc>
            </w:tr>
            <w:tr w14:paraId="7FC28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75631EF7">
                  <w:pPr>
                    <w:pStyle w:val="4"/>
                    <w:jc w:val="center"/>
                  </w:pPr>
                  <w:r>
                    <w:rPr>
                      <w:rFonts w:hint="eastAsia"/>
                    </w:rPr>
                    <w:t>2</w:t>
                  </w:r>
                </w:p>
              </w:tc>
              <w:tc>
                <w:tcPr>
                  <w:tcW w:w="3498" w:type="dxa"/>
                  <w:vAlign w:val="center"/>
                </w:tcPr>
                <w:p w14:paraId="2C01E4BC">
                  <w:pPr>
                    <w:pStyle w:val="4"/>
                    <w:ind w:firstLine="180" w:firstLineChars="100"/>
                  </w:pPr>
                  <w:r>
                    <w:rPr>
                      <w:rFonts w:hint="eastAsia"/>
                    </w:rPr>
                    <w:t>超过36 000元至144 000元的部分</w:t>
                  </w:r>
                </w:p>
              </w:tc>
              <w:tc>
                <w:tcPr>
                  <w:tcW w:w="1418" w:type="dxa"/>
                  <w:vAlign w:val="center"/>
                </w:tcPr>
                <w:p w14:paraId="334BA129">
                  <w:pPr>
                    <w:pStyle w:val="4"/>
                    <w:jc w:val="center"/>
                  </w:pPr>
                  <w:r>
                    <w:rPr>
                      <w:rFonts w:hint="eastAsia"/>
                    </w:rPr>
                    <w:t>10</w:t>
                  </w:r>
                </w:p>
              </w:tc>
              <w:tc>
                <w:tcPr>
                  <w:tcW w:w="1275" w:type="dxa"/>
                  <w:shd w:val="clear" w:color="auto" w:fill="auto"/>
                  <w:vAlign w:val="center"/>
                </w:tcPr>
                <w:p w14:paraId="43A92009">
                  <w:pPr>
                    <w:pStyle w:val="4"/>
                    <w:jc w:val="center"/>
                    <w:rPr>
                      <w:szCs w:val="24"/>
                    </w:rPr>
                  </w:pPr>
                  <w:r>
                    <w:rPr>
                      <w:rFonts w:hint="eastAsia"/>
                      <w:szCs w:val="24"/>
                    </w:rPr>
                    <w:t>2 520</w:t>
                  </w:r>
                </w:p>
              </w:tc>
            </w:tr>
            <w:tr w14:paraId="0830E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30C3248E">
                  <w:pPr>
                    <w:pStyle w:val="4"/>
                    <w:jc w:val="center"/>
                  </w:pPr>
                  <w:r>
                    <w:rPr>
                      <w:rFonts w:hint="eastAsia"/>
                    </w:rPr>
                    <w:t>3</w:t>
                  </w:r>
                </w:p>
              </w:tc>
              <w:tc>
                <w:tcPr>
                  <w:tcW w:w="3498" w:type="dxa"/>
                  <w:vAlign w:val="center"/>
                </w:tcPr>
                <w:p w14:paraId="0F581AC4">
                  <w:pPr>
                    <w:pStyle w:val="4"/>
                    <w:ind w:firstLine="180" w:firstLineChars="100"/>
                  </w:pPr>
                  <w:r>
                    <w:rPr>
                      <w:rFonts w:hint="eastAsia"/>
                    </w:rPr>
                    <w:t>超过144 000元至300 000元的部分</w:t>
                  </w:r>
                </w:p>
              </w:tc>
              <w:tc>
                <w:tcPr>
                  <w:tcW w:w="1418" w:type="dxa"/>
                  <w:vAlign w:val="center"/>
                </w:tcPr>
                <w:p w14:paraId="6B7EBC5C">
                  <w:pPr>
                    <w:pStyle w:val="4"/>
                    <w:jc w:val="center"/>
                  </w:pPr>
                  <w:r>
                    <w:rPr>
                      <w:rFonts w:hint="eastAsia"/>
                    </w:rPr>
                    <w:t>20</w:t>
                  </w:r>
                </w:p>
              </w:tc>
              <w:tc>
                <w:tcPr>
                  <w:tcW w:w="1275" w:type="dxa"/>
                  <w:shd w:val="clear" w:color="auto" w:fill="auto"/>
                  <w:vAlign w:val="center"/>
                </w:tcPr>
                <w:p w14:paraId="7E4E2B1A">
                  <w:pPr>
                    <w:pStyle w:val="4"/>
                    <w:jc w:val="center"/>
                    <w:rPr>
                      <w:szCs w:val="24"/>
                    </w:rPr>
                  </w:pPr>
                  <w:r>
                    <w:rPr>
                      <w:rFonts w:hint="eastAsia"/>
                      <w:szCs w:val="24"/>
                    </w:rPr>
                    <w:t>16 920</w:t>
                  </w:r>
                </w:p>
              </w:tc>
            </w:tr>
            <w:tr w14:paraId="289C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427CD1A1">
                  <w:pPr>
                    <w:pStyle w:val="4"/>
                    <w:jc w:val="center"/>
                  </w:pPr>
                  <w:r>
                    <w:rPr>
                      <w:rFonts w:hint="eastAsia"/>
                    </w:rPr>
                    <w:t>4</w:t>
                  </w:r>
                </w:p>
              </w:tc>
              <w:tc>
                <w:tcPr>
                  <w:tcW w:w="3498" w:type="dxa"/>
                  <w:vAlign w:val="center"/>
                </w:tcPr>
                <w:p w14:paraId="691CC136">
                  <w:pPr>
                    <w:pStyle w:val="4"/>
                    <w:ind w:firstLine="180" w:firstLineChars="100"/>
                  </w:pPr>
                  <w:r>
                    <w:rPr>
                      <w:rFonts w:hint="eastAsia"/>
                    </w:rPr>
                    <w:t>超过300 000元至420 000元的部分</w:t>
                  </w:r>
                </w:p>
              </w:tc>
              <w:tc>
                <w:tcPr>
                  <w:tcW w:w="1418" w:type="dxa"/>
                  <w:vAlign w:val="center"/>
                </w:tcPr>
                <w:p w14:paraId="0271B9F5">
                  <w:pPr>
                    <w:pStyle w:val="4"/>
                    <w:jc w:val="center"/>
                  </w:pPr>
                  <w:r>
                    <w:rPr>
                      <w:rFonts w:hint="eastAsia"/>
                    </w:rPr>
                    <w:t>25</w:t>
                  </w:r>
                </w:p>
              </w:tc>
              <w:tc>
                <w:tcPr>
                  <w:tcW w:w="1275" w:type="dxa"/>
                  <w:shd w:val="clear" w:color="auto" w:fill="auto"/>
                  <w:vAlign w:val="center"/>
                </w:tcPr>
                <w:p w14:paraId="4ABC148F">
                  <w:pPr>
                    <w:pStyle w:val="4"/>
                    <w:jc w:val="center"/>
                    <w:rPr>
                      <w:szCs w:val="24"/>
                    </w:rPr>
                  </w:pPr>
                  <w:r>
                    <w:rPr>
                      <w:rFonts w:hint="eastAsia"/>
                      <w:szCs w:val="24"/>
                    </w:rPr>
                    <w:t>31 920</w:t>
                  </w:r>
                </w:p>
              </w:tc>
            </w:tr>
            <w:tr w14:paraId="1358F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175575B3">
                  <w:pPr>
                    <w:pStyle w:val="4"/>
                    <w:jc w:val="center"/>
                  </w:pPr>
                  <w:r>
                    <w:rPr>
                      <w:rFonts w:hint="eastAsia"/>
                    </w:rPr>
                    <w:t>5</w:t>
                  </w:r>
                </w:p>
              </w:tc>
              <w:tc>
                <w:tcPr>
                  <w:tcW w:w="3498" w:type="dxa"/>
                  <w:vAlign w:val="center"/>
                </w:tcPr>
                <w:p w14:paraId="0E307B9B">
                  <w:pPr>
                    <w:pStyle w:val="4"/>
                    <w:ind w:firstLine="180" w:firstLineChars="100"/>
                  </w:pPr>
                  <w:r>
                    <w:rPr>
                      <w:rFonts w:hint="eastAsia"/>
                    </w:rPr>
                    <w:t>超过420 000元至660 000元的部分</w:t>
                  </w:r>
                </w:p>
              </w:tc>
              <w:tc>
                <w:tcPr>
                  <w:tcW w:w="1418" w:type="dxa"/>
                  <w:vAlign w:val="center"/>
                </w:tcPr>
                <w:p w14:paraId="38370B89">
                  <w:pPr>
                    <w:pStyle w:val="4"/>
                    <w:jc w:val="center"/>
                  </w:pPr>
                  <w:r>
                    <w:rPr>
                      <w:rFonts w:hint="eastAsia"/>
                    </w:rPr>
                    <w:t>30</w:t>
                  </w:r>
                </w:p>
              </w:tc>
              <w:tc>
                <w:tcPr>
                  <w:tcW w:w="1275" w:type="dxa"/>
                  <w:shd w:val="clear" w:color="auto" w:fill="auto"/>
                  <w:vAlign w:val="center"/>
                </w:tcPr>
                <w:p w14:paraId="675A43FC">
                  <w:pPr>
                    <w:pStyle w:val="4"/>
                    <w:jc w:val="center"/>
                    <w:rPr>
                      <w:szCs w:val="24"/>
                    </w:rPr>
                  </w:pPr>
                  <w:r>
                    <w:rPr>
                      <w:rFonts w:hint="eastAsia"/>
                      <w:szCs w:val="24"/>
                    </w:rPr>
                    <w:t>52 920</w:t>
                  </w:r>
                </w:p>
              </w:tc>
            </w:tr>
            <w:tr w14:paraId="021CE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7D275FFF">
                  <w:pPr>
                    <w:pStyle w:val="4"/>
                    <w:jc w:val="center"/>
                  </w:pPr>
                  <w:r>
                    <w:rPr>
                      <w:rFonts w:hint="eastAsia"/>
                    </w:rPr>
                    <w:t>6</w:t>
                  </w:r>
                </w:p>
              </w:tc>
              <w:tc>
                <w:tcPr>
                  <w:tcW w:w="3498" w:type="dxa"/>
                  <w:vAlign w:val="center"/>
                </w:tcPr>
                <w:p w14:paraId="06CC47D8">
                  <w:pPr>
                    <w:pStyle w:val="4"/>
                    <w:ind w:firstLine="180" w:firstLineChars="100"/>
                  </w:pPr>
                  <w:r>
                    <w:rPr>
                      <w:rFonts w:hint="eastAsia"/>
                    </w:rPr>
                    <w:t>超过660 000元至960 000元的部分</w:t>
                  </w:r>
                </w:p>
              </w:tc>
              <w:tc>
                <w:tcPr>
                  <w:tcW w:w="1418" w:type="dxa"/>
                  <w:vAlign w:val="center"/>
                </w:tcPr>
                <w:p w14:paraId="027A2F33">
                  <w:pPr>
                    <w:pStyle w:val="4"/>
                    <w:jc w:val="center"/>
                  </w:pPr>
                  <w:r>
                    <w:rPr>
                      <w:rFonts w:hint="eastAsia"/>
                    </w:rPr>
                    <w:t>35</w:t>
                  </w:r>
                </w:p>
              </w:tc>
              <w:tc>
                <w:tcPr>
                  <w:tcW w:w="1275" w:type="dxa"/>
                  <w:shd w:val="clear" w:color="auto" w:fill="auto"/>
                  <w:vAlign w:val="center"/>
                </w:tcPr>
                <w:p w14:paraId="7B9F7232">
                  <w:pPr>
                    <w:pStyle w:val="4"/>
                    <w:jc w:val="center"/>
                    <w:rPr>
                      <w:szCs w:val="24"/>
                    </w:rPr>
                  </w:pPr>
                  <w:r>
                    <w:rPr>
                      <w:rFonts w:hint="eastAsia"/>
                      <w:szCs w:val="24"/>
                    </w:rPr>
                    <w:t>85 920</w:t>
                  </w:r>
                </w:p>
              </w:tc>
            </w:tr>
            <w:tr w14:paraId="1FCC1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61907A4D">
                  <w:pPr>
                    <w:pStyle w:val="4"/>
                    <w:jc w:val="center"/>
                  </w:pPr>
                  <w:r>
                    <w:rPr>
                      <w:rFonts w:hint="eastAsia"/>
                    </w:rPr>
                    <w:t>7</w:t>
                  </w:r>
                </w:p>
              </w:tc>
              <w:tc>
                <w:tcPr>
                  <w:tcW w:w="3498" w:type="dxa"/>
                  <w:vAlign w:val="center"/>
                </w:tcPr>
                <w:p w14:paraId="2CADAD3E">
                  <w:pPr>
                    <w:pStyle w:val="4"/>
                    <w:ind w:firstLine="180" w:firstLineChars="100"/>
                  </w:pPr>
                  <w:r>
                    <w:rPr>
                      <w:rFonts w:hint="eastAsia"/>
                    </w:rPr>
                    <w:t>超过960 000元的部分</w:t>
                  </w:r>
                </w:p>
              </w:tc>
              <w:tc>
                <w:tcPr>
                  <w:tcW w:w="1418" w:type="dxa"/>
                  <w:vAlign w:val="center"/>
                </w:tcPr>
                <w:p w14:paraId="4280FD22">
                  <w:pPr>
                    <w:pStyle w:val="4"/>
                    <w:jc w:val="center"/>
                  </w:pPr>
                  <w:r>
                    <w:rPr>
                      <w:rFonts w:hint="eastAsia"/>
                    </w:rPr>
                    <w:t>45</w:t>
                  </w:r>
                </w:p>
              </w:tc>
              <w:tc>
                <w:tcPr>
                  <w:tcW w:w="1275" w:type="dxa"/>
                  <w:shd w:val="clear" w:color="auto" w:fill="auto"/>
                  <w:vAlign w:val="center"/>
                </w:tcPr>
                <w:p w14:paraId="72B53D3B">
                  <w:pPr>
                    <w:pStyle w:val="4"/>
                    <w:jc w:val="center"/>
                    <w:rPr>
                      <w:szCs w:val="24"/>
                    </w:rPr>
                  </w:pPr>
                  <w:r>
                    <w:rPr>
                      <w:rFonts w:hint="eastAsia"/>
                      <w:szCs w:val="24"/>
                    </w:rPr>
                    <w:t>181 920</w:t>
                  </w:r>
                </w:p>
              </w:tc>
            </w:tr>
          </w:tbl>
          <w:p w14:paraId="78EE8EF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注：1．本表所称“全年应纳税所得额”是指依照税法的规定，居民个人取得综合所得以每一纳税年度的收入总额减去费用60 000元及专项扣除、专项附加扣除和依法确定的其他扣除后的余额。</w:t>
            </w:r>
          </w:p>
          <w:p w14:paraId="2B44BC9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2．非居民个人取得工资、薪金所得，劳务报酬所得，稿酬所得和特许权使用费所得，依照本表按月换算后计算应纳税额。</w:t>
            </w:r>
          </w:p>
          <w:p w14:paraId="525198E2">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（二）经营所得适用税率</w:t>
            </w:r>
          </w:p>
          <w:p w14:paraId="13CC7494">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【教师】讲解经营所得个人所得税适用税率</w:t>
            </w:r>
          </w:p>
          <w:p w14:paraId="701130B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纳税人每一纳税年度内取得的经营所得适用五级超额累进税率，税率为5%～35%，具体如表4-3所示。</w:t>
            </w:r>
          </w:p>
          <w:p w14:paraId="40469C71">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表</w:t>
            </w:r>
            <w:r>
              <w:rPr>
                <w:rFonts w:hint="eastAsia" w:ascii="Times New Roman" w:hAnsi="Times New Roman" w:eastAsia="微软雅黑"/>
                <w:sz w:val="18"/>
                <w:lang w:val="en-US" w:eastAsia="zh-CN"/>
              </w:rPr>
              <w:t>6</w:t>
            </w:r>
            <w:r>
              <w:rPr>
                <w:rFonts w:hint="eastAsia" w:ascii="Times New Roman" w:hAnsi="Times New Roman" w:eastAsia="微软雅黑"/>
                <w:sz w:val="18"/>
              </w:rPr>
              <w:t>-</w:t>
            </w:r>
            <w:r>
              <w:rPr>
                <w:rFonts w:hint="eastAsia" w:ascii="Times New Roman" w:hAnsi="Times New Roman" w:eastAsia="微软雅黑"/>
                <w:sz w:val="18"/>
                <w:lang w:val="en-US" w:eastAsia="zh-CN"/>
              </w:rPr>
              <w:t>4</w:t>
            </w:r>
            <w:bookmarkStart w:id="0" w:name="_GoBack"/>
            <w:bookmarkEnd w:id="0"/>
            <w:r>
              <w:rPr>
                <w:rFonts w:hint="eastAsia" w:ascii="Times New Roman" w:hAnsi="Times New Roman" w:eastAsia="微软雅黑"/>
                <w:sz w:val="18"/>
              </w:rPr>
              <w:t xml:space="preserve">  经营所得个人所得税税率表</w:t>
            </w:r>
          </w:p>
          <w:tbl>
            <w:tblPr>
              <w:tblStyle w:val="2"/>
              <w:tblW w:w="7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3498"/>
              <w:gridCol w:w="1418"/>
              <w:gridCol w:w="1275"/>
            </w:tblGrid>
            <w:tr w14:paraId="2D84D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shd w:val="clear" w:color="auto" w:fill="DAE3F4" w:themeFill="accent1" w:themeFillTint="33"/>
                  <w:vAlign w:val="center"/>
                </w:tcPr>
                <w:p w14:paraId="75E8227C">
                  <w:pPr>
                    <w:pStyle w:val="4"/>
                    <w:jc w:val="center"/>
                  </w:pPr>
                  <w:r>
                    <w:rPr>
                      <w:rFonts w:hint="eastAsia"/>
                    </w:rPr>
                    <w:t>级数</w:t>
                  </w:r>
                </w:p>
              </w:tc>
              <w:tc>
                <w:tcPr>
                  <w:tcW w:w="3498" w:type="dxa"/>
                  <w:shd w:val="clear" w:color="auto" w:fill="DAE3F4" w:themeFill="accent1" w:themeFillTint="33"/>
                  <w:vAlign w:val="center"/>
                </w:tcPr>
                <w:p w14:paraId="4AB21C1F">
                  <w:pPr>
                    <w:pStyle w:val="4"/>
                    <w:jc w:val="center"/>
                  </w:pPr>
                  <w:r>
                    <w:rPr>
                      <w:rFonts w:hint="eastAsia"/>
                    </w:rPr>
                    <w:t>全年应纳税所得额</w:t>
                  </w:r>
                </w:p>
              </w:tc>
              <w:tc>
                <w:tcPr>
                  <w:tcW w:w="1418" w:type="dxa"/>
                  <w:shd w:val="clear" w:color="auto" w:fill="DAE3F4" w:themeFill="accent1" w:themeFillTint="33"/>
                  <w:vAlign w:val="center"/>
                </w:tcPr>
                <w:p w14:paraId="7DB9A132">
                  <w:pPr>
                    <w:pStyle w:val="4"/>
                    <w:jc w:val="center"/>
                    <w:rPr>
                      <w:spacing w:val="-6"/>
                    </w:rPr>
                  </w:pPr>
                  <w:r>
                    <w:rPr>
                      <w:rFonts w:hint="eastAsia"/>
                      <w:spacing w:val="-6"/>
                    </w:rPr>
                    <w:t>税率（%）</w:t>
                  </w:r>
                </w:p>
              </w:tc>
              <w:tc>
                <w:tcPr>
                  <w:tcW w:w="1275" w:type="dxa"/>
                  <w:shd w:val="clear" w:color="auto" w:fill="DAE3F4" w:themeFill="accent1" w:themeFillTint="33"/>
                  <w:vAlign w:val="center"/>
                </w:tcPr>
                <w:p w14:paraId="32F9C6E0">
                  <w:pPr>
                    <w:pStyle w:val="4"/>
                    <w:jc w:val="center"/>
                    <w:rPr>
                      <w:spacing w:val="-6"/>
                    </w:rPr>
                  </w:pPr>
                  <w:r>
                    <w:rPr>
                      <w:rFonts w:hint="eastAsia"/>
                      <w:spacing w:val="-6"/>
                    </w:rPr>
                    <w:t>速算扣除数</w:t>
                  </w:r>
                </w:p>
              </w:tc>
            </w:tr>
            <w:tr w14:paraId="3293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3502F258">
                  <w:pPr>
                    <w:pStyle w:val="4"/>
                    <w:jc w:val="center"/>
                  </w:pPr>
                  <w:r>
                    <w:rPr>
                      <w:rFonts w:hint="eastAsia"/>
                    </w:rPr>
                    <w:t>1</w:t>
                  </w:r>
                </w:p>
              </w:tc>
              <w:tc>
                <w:tcPr>
                  <w:tcW w:w="3498" w:type="dxa"/>
                  <w:vAlign w:val="center"/>
                </w:tcPr>
                <w:p w14:paraId="0AAD7F26">
                  <w:pPr>
                    <w:pStyle w:val="4"/>
                    <w:ind w:firstLine="180" w:firstLineChars="100"/>
                  </w:pPr>
                  <w:r>
                    <w:rPr>
                      <w:rFonts w:hint="eastAsia"/>
                    </w:rPr>
                    <w:t>不超过30 000元的</w:t>
                  </w:r>
                </w:p>
              </w:tc>
              <w:tc>
                <w:tcPr>
                  <w:tcW w:w="1418" w:type="dxa"/>
                  <w:vAlign w:val="center"/>
                </w:tcPr>
                <w:p w14:paraId="408AC897">
                  <w:pPr>
                    <w:pStyle w:val="4"/>
                    <w:jc w:val="center"/>
                  </w:pPr>
                  <w:r>
                    <w:rPr>
                      <w:rFonts w:hint="eastAsia"/>
                    </w:rPr>
                    <w:t>5</w:t>
                  </w:r>
                </w:p>
              </w:tc>
              <w:tc>
                <w:tcPr>
                  <w:tcW w:w="1275" w:type="dxa"/>
                  <w:shd w:val="clear" w:color="auto" w:fill="auto"/>
                  <w:vAlign w:val="center"/>
                </w:tcPr>
                <w:p w14:paraId="60AB892D">
                  <w:pPr>
                    <w:pStyle w:val="4"/>
                    <w:jc w:val="center"/>
                  </w:pPr>
                  <w:r>
                    <w:rPr>
                      <w:rFonts w:hint="eastAsia"/>
                    </w:rPr>
                    <w:t>0</w:t>
                  </w:r>
                </w:p>
              </w:tc>
            </w:tr>
            <w:tr w14:paraId="23D4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3731BEBF">
                  <w:pPr>
                    <w:pStyle w:val="4"/>
                    <w:jc w:val="center"/>
                  </w:pPr>
                  <w:r>
                    <w:rPr>
                      <w:rFonts w:hint="eastAsia"/>
                    </w:rPr>
                    <w:t>2</w:t>
                  </w:r>
                </w:p>
              </w:tc>
              <w:tc>
                <w:tcPr>
                  <w:tcW w:w="3498" w:type="dxa"/>
                  <w:vAlign w:val="center"/>
                </w:tcPr>
                <w:p w14:paraId="1CB1837D">
                  <w:pPr>
                    <w:pStyle w:val="4"/>
                    <w:ind w:firstLine="180" w:firstLineChars="100"/>
                  </w:pPr>
                  <w:r>
                    <w:rPr>
                      <w:rFonts w:hint="eastAsia"/>
                    </w:rPr>
                    <w:t>超过30 000元至90 000元的部分</w:t>
                  </w:r>
                </w:p>
              </w:tc>
              <w:tc>
                <w:tcPr>
                  <w:tcW w:w="1418" w:type="dxa"/>
                  <w:vAlign w:val="center"/>
                </w:tcPr>
                <w:p w14:paraId="61F99E82">
                  <w:pPr>
                    <w:pStyle w:val="4"/>
                    <w:jc w:val="center"/>
                  </w:pPr>
                  <w:r>
                    <w:rPr>
                      <w:rFonts w:hint="eastAsia"/>
                    </w:rPr>
                    <w:t>10</w:t>
                  </w:r>
                </w:p>
              </w:tc>
              <w:tc>
                <w:tcPr>
                  <w:tcW w:w="1275" w:type="dxa"/>
                  <w:shd w:val="clear" w:color="auto" w:fill="auto"/>
                  <w:vAlign w:val="center"/>
                </w:tcPr>
                <w:p w14:paraId="51045B39">
                  <w:pPr>
                    <w:pStyle w:val="4"/>
                    <w:jc w:val="center"/>
                  </w:pPr>
                  <w:r>
                    <w:rPr>
                      <w:rFonts w:hint="eastAsia"/>
                    </w:rPr>
                    <w:t>1 500</w:t>
                  </w:r>
                </w:p>
              </w:tc>
            </w:tr>
            <w:tr w14:paraId="4374B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6E1650EF">
                  <w:pPr>
                    <w:pStyle w:val="4"/>
                    <w:jc w:val="center"/>
                  </w:pPr>
                  <w:r>
                    <w:rPr>
                      <w:rFonts w:hint="eastAsia"/>
                    </w:rPr>
                    <w:t>3</w:t>
                  </w:r>
                </w:p>
              </w:tc>
              <w:tc>
                <w:tcPr>
                  <w:tcW w:w="3498" w:type="dxa"/>
                  <w:vAlign w:val="center"/>
                </w:tcPr>
                <w:p w14:paraId="431844C6">
                  <w:pPr>
                    <w:pStyle w:val="4"/>
                    <w:ind w:firstLine="180" w:firstLineChars="100"/>
                  </w:pPr>
                  <w:r>
                    <w:rPr>
                      <w:rFonts w:hint="eastAsia"/>
                    </w:rPr>
                    <w:t>超过90 000元至300 000元的部分</w:t>
                  </w:r>
                </w:p>
              </w:tc>
              <w:tc>
                <w:tcPr>
                  <w:tcW w:w="1418" w:type="dxa"/>
                  <w:vAlign w:val="center"/>
                </w:tcPr>
                <w:p w14:paraId="5AAF76FA">
                  <w:pPr>
                    <w:pStyle w:val="4"/>
                    <w:jc w:val="center"/>
                  </w:pPr>
                  <w:r>
                    <w:rPr>
                      <w:rFonts w:hint="eastAsia"/>
                    </w:rPr>
                    <w:t>20</w:t>
                  </w:r>
                </w:p>
              </w:tc>
              <w:tc>
                <w:tcPr>
                  <w:tcW w:w="1275" w:type="dxa"/>
                  <w:shd w:val="clear" w:color="auto" w:fill="auto"/>
                  <w:vAlign w:val="center"/>
                </w:tcPr>
                <w:p w14:paraId="6683B7DD">
                  <w:pPr>
                    <w:pStyle w:val="4"/>
                    <w:jc w:val="center"/>
                  </w:pPr>
                  <w:r>
                    <w:rPr>
                      <w:rFonts w:hint="eastAsia"/>
                    </w:rPr>
                    <w:t>10 500</w:t>
                  </w:r>
                </w:p>
              </w:tc>
            </w:tr>
            <w:tr w14:paraId="7B2E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273B8B64">
                  <w:pPr>
                    <w:pStyle w:val="4"/>
                    <w:jc w:val="center"/>
                  </w:pPr>
                  <w:r>
                    <w:rPr>
                      <w:rFonts w:hint="eastAsia"/>
                    </w:rPr>
                    <w:t>4</w:t>
                  </w:r>
                </w:p>
              </w:tc>
              <w:tc>
                <w:tcPr>
                  <w:tcW w:w="3498" w:type="dxa"/>
                  <w:vAlign w:val="center"/>
                </w:tcPr>
                <w:p w14:paraId="0EB9F164">
                  <w:pPr>
                    <w:pStyle w:val="4"/>
                    <w:ind w:firstLine="180" w:firstLineChars="100"/>
                  </w:pPr>
                  <w:r>
                    <w:rPr>
                      <w:rFonts w:hint="eastAsia"/>
                    </w:rPr>
                    <w:t>超过300 000元至500 000元的部分</w:t>
                  </w:r>
                </w:p>
              </w:tc>
              <w:tc>
                <w:tcPr>
                  <w:tcW w:w="1418" w:type="dxa"/>
                  <w:vAlign w:val="center"/>
                </w:tcPr>
                <w:p w14:paraId="4B013376">
                  <w:pPr>
                    <w:pStyle w:val="4"/>
                    <w:jc w:val="center"/>
                  </w:pPr>
                  <w:r>
                    <w:rPr>
                      <w:rFonts w:hint="eastAsia"/>
                    </w:rPr>
                    <w:t>30</w:t>
                  </w:r>
                </w:p>
              </w:tc>
              <w:tc>
                <w:tcPr>
                  <w:tcW w:w="1275" w:type="dxa"/>
                  <w:shd w:val="clear" w:color="auto" w:fill="auto"/>
                  <w:vAlign w:val="center"/>
                </w:tcPr>
                <w:p w14:paraId="5E61145D">
                  <w:pPr>
                    <w:pStyle w:val="4"/>
                    <w:jc w:val="center"/>
                  </w:pPr>
                  <w:r>
                    <w:rPr>
                      <w:rFonts w:hint="eastAsia"/>
                    </w:rPr>
                    <w:t>40 500</w:t>
                  </w:r>
                </w:p>
              </w:tc>
            </w:tr>
            <w:tr w14:paraId="5267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 w:type="dxa"/>
                  <w:vAlign w:val="center"/>
                </w:tcPr>
                <w:p w14:paraId="34690BB3">
                  <w:pPr>
                    <w:pStyle w:val="4"/>
                    <w:jc w:val="center"/>
                  </w:pPr>
                  <w:r>
                    <w:rPr>
                      <w:rFonts w:hint="eastAsia"/>
                    </w:rPr>
                    <w:t>5</w:t>
                  </w:r>
                </w:p>
              </w:tc>
              <w:tc>
                <w:tcPr>
                  <w:tcW w:w="3498" w:type="dxa"/>
                  <w:vAlign w:val="center"/>
                </w:tcPr>
                <w:p w14:paraId="09FDA962">
                  <w:pPr>
                    <w:pStyle w:val="4"/>
                    <w:ind w:firstLine="180" w:firstLineChars="100"/>
                  </w:pPr>
                  <w:r>
                    <w:rPr>
                      <w:rFonts w:hint="eastAsia"/>
                    </w:rPr>
                    <w:t>超过500 000元的部分</w:t>
                  </w:r>
                </w:p>
              </w:tc>
              <w:tc>
                <w:tcPr>
                  <w:tcW w:w="1418" w:type="dxa"/>
                  <w:vAlign w:val="center"/>
                </w:tcPr>
                <w:p w14:paraId="7245CB3F">
                  <w:pPr>
                    <w:pStyle w:val="4"/>
                    <w:jc w:val="center"/>
                  </w:pPr>
                  <w:r>
                    <w:rPr>
                      <w:rFonts w:hint="eastAsia"/>
                    </w:rPr>
                    <w:t>35</w:t>
                  </w:r>
                </w:p>
              </w:tc>
              <w:tc>
                <w:tcPr>
                  <w:tcW w:w="1275" w:type="dxa"/>
                  <w:shd w:val="clear" w:color="auto" w:fill="auto"/>
                  <w:vAlign w:val="center"/>
                </w:tcPr>
                <w:p w14:paraId="619259E1">
                  <w:pPr>
                    <w:pStyle w:val="4"/>
                    <w:jc w:val="center"/>
                  </w:pPr>
                  <w:r>
                    <w:rPr>
                      <w:rFonts w:hint="eastAsia"/>
                    </w:rPr>
                    <w:t>65 500</w:t>
                  </w:r>
                </w:p>
              </w:tc>
            </w:tr>
          </w:tbl>
          <w:p w14:paraId="312AB1D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注：本表所称“全年应纳税所得额”是指依照税法的规定，以每一纳税年度的收入总额减去成本、费用及损失后的余额。</w:t>
            </w:r>
          </w:p>
          <w:p w14:paraId="1C25F68D">
            <w:pPr>
              <w:spacing w:after="0" w:line="240" w:lineRule="auto"/>
              <w:ind w:left="360"/>
              <w:rPr>
                <w:rFonts w:ascii="Times New Roman" w:hAnsi="Times New Roman" w:eastAsia="微软雅黑"/>
                <w:b/>
                <w:sz w:val="18"/>
              </w:rPr>
            </w:pPr>
            <w:r>
              <w:rPr>
                <w:rFonts w:hint="eastAsia" w:ascii="Times New Roman" w:hAnsi="Times New Roman" w:eastAsia="微软雅黑"/>
                <w:b/>
                <w:sz w:val="18"/>
              </w:rPr>
              <w:t>（三）其他所得适用税率</w:t>
            </w:r>
          </w:p>
          <w:p w14:paraId="710FC76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【教师】讲解其他所得个人所得税适用税率</w:t>
            </w:r>
          </w:p>
          <w:p w14:paraId="7C52524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纳税人取得的利息、股息、红利所得，财产租赁所得，财产转让所得和偶然所得，适用税率为20%的比例税率。</w:t>
            </w:r>
          </w:p>
          <w:p w14:paraId="4B93C367">
            <w:pPr>
              <w:pStyle w:val="4"/>
              <w:shd w:val="clear" w:color="auto" w:fill="FDF3ED"/>
              <w:ind w:firstLine="360" w:firstLineChars="200"/>
              <w:rPr>
                <w:rFonts w:ascii="MS Mincho" w:hAnsi="MS Mincho" w:cs="MS Mincho"/>
                <w:b/>
              </w:rPr>
            </w:pPr>
            <w:r>
              <w:rPr>
                <w:rFonts w:hint="eastAsia"/>
                <w:b/>
              </w:rPr>
              <w:t>【课堂互动】</w:t>
            </w:r>
          </w:p>
          <w:p w14:paraId="79786084">
            <w:pPr>
              <w:pStyle w:val="4"/>
              <w:shd w:val="clear" w:color="auto" w:fill="FDF3ED"/>
              <w:ind w:firstLine="360" w:firstLineChars="200"/>
              <w:rPr>
                <w:b/>
              </w:rPr>
            </w:pPr>
            <w:r>
              <w:rPr>
                <w:rFonts w:ascii="MS Mincho" w:hAnsi="MS Mincho" w:cs="MS Mincho"/>
                <w:b/>
              </w:rPr>
              <w:t>✈</w:t>
            </w:r>
            <w:r>
              <w:rPr>
                <w:rFonts w:hint="eastAsia"/>
                <w:b/>
              </w:rPr>
              <w:t>【教师】提出问题</w:t>
            </w:r>
          </w:p>
          <w:p w14:paraId="7187AA2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2019年，新《个人所得税法》施行，标志着我国建立了综合与分类相结合的个人所得税制，是我国贯彻以人民为中心的发展思想的体现，不仅可以助推实现共同富裕，还可以更好地满足人民对公平、正义的要求。</w:t>
            </w:r>
          </w:p>
          <w:p w14:paraId="3E7A5BF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税收是国家实施宏观调控、调节收入分配的重要工具。你赞同这一说法吗？为什么？</w:t>
            </w:r>
          </w:p>
          <w:p w14:paraId="56DFD263">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【学生】思考、回答问题</w:t>
            </w:r>
          </w:p>
          <w:p w14:paraId="7A522B57">
            <w:pPr>
              <w:pStyle w:val="4"/>
              <w:shd w:val="clear" w:color="auto" w:fill="FDF3ED"/>
              <w:ind w:firstLine="360" w:firstLineChars="200"/>
              <w:rPr>
                <w:rFonts w:ascii="微软雅黑" w:hAnsi="微软雅黑"/>
                <w:b/>
                <w:color w:val="833C0B"/>
              </w:rPr>
            </w:pPr>
            <w:r>
              <w:rPr>
                <w:rFonts w:ascii="MS Mincho" w:hAnsi="MS Mincho" w:cs="MS Mincho"/>
                <w:b/>
              </w:rPr>
              <w:t>✈</w:t>
            </w:r>
            <w:r>
              <w:rPr>
                <w:rFonts w:hint="eastAsia"/>
                <w:b/>
              </w:rPr>
              <w:t>【教师】评价并总结学生的回答</w:t>
            </w:r>
          </w:p>
          <w:p w14:paraId="314FF665">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四、减免优惠</w:t>
            </w:r>
          </w:p>
          <w:p w14:paraId="555220DE">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（一）免税优惠</w:t>
            </w:r>
          </w:p>
          <w:p w14:paraId="1EE732D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【教师】讲解个人所得税减免优惠的免税优惠</w:t>
            </w:r>
          </w:p>
          <w:p w14:paraId="3085B75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（1）省级人民政府、国务院部委和中国人民解放军军级以上单位，以及外国组织颁发的科学、教育、技术、文化、卫生、体育、环境保护等方面的奖金。</w:t>
            </w:r>
          </w:p>
          <w:p w14:paraId="06F2F7E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（2）国债和国家发行的金融债券利息。</w:t>
            </w:r>
          </w:p>
          <w:p w14:paraId="7EA0925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（3）按照国家统一规定发给的补贴、津贴。</w:t>
            </w:r>
          </w:p>
          <w:p w14:paraId="4D11EBF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（4）福利费、抚恤金、救济金。</w:t>
            </w:r>
          </w:p>
          <w:p w14:paraId="6387E1A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（5）保险赔款。</w:t>
            </w:r>
          </w:p>
          <w:p w14:paraId="582CB19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（6）军人的转业费、复员费、退役金。</w:t>
            </w:r>
          </w:p>
          <w:p w14:paraId="5CA1923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（7）按照国家统一规定发给干部、职工的安家费、退职费、基本养老金或者退休费、离休费、离休生活补助费。</w:t>
            </w:r>
          </w:p>
          <w:p w14:paraId="29C5353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（8）按照我国有关法律规定应予免税的各国驻华使馆、领事馆的外交代表、领事官员和其他人员的所得。</w:t>
            </w:r>
          </w:p>
          <w:p w14:paraId="65582CD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（9）中国政府参加的国际公约及签订的协议中规定免税的所得。</w:t>
            </w:r>
          </w:p>
          <w:p w14:paraId="650558E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（10）外籍个人从外商投资企业取得的股息、红利所得。</w:t>
            </w:r>
          </w:p>
          <w:p w14:paraId="5704F62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（11）个人举报、协查各种违法、犯罪行为而获得的奖金。</w:t>
            </w:r>
          </w:p>
          <w:p w14:paraId="4C55505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（12）个人办理代扣代缴税款手续，按规定取得的扣缴手续费。</w:t>
            </w:r>
          </w:p>
          <w:p w14:paraId="0F71943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（13）个人转让自用达5年以上并且是唯一的家庭居住用房取得的所得。</w:t>
            </w:r>
          </w:p>
          <w:p w14:paraId="01D77B00">
            <w:pPr>
              <w:pStyle w:val="4"/>
              <w:shd w:val="clear" w:color="auto" w:fill="FDF3ED"/>
              <w:ind w:firstLine="360" w:firstLineChars="200"/>
              <w:rPr>
                <w:rFonts w:ascii="MS Mincho" w:hAnsi="MS Mincho" w:cs="MS Mincho"/>
                <w:b/>
              </w:rPr>
            </w:pPr>
            <w:r>
              <w:rPr>
                <w:rFonts w:hint="eastAsia"/>
                <w:b/>
              </w:rPr>
              <w:t>【课堂互动】</w:t>
            </w:r>
          </w:p>
          <w:p w14:paraId="01AF8B81">
            <w:pPr>
              <w:pStyle w:val="4"/>
              <w:shd w:val="clear" w:color="auto" w:fill="FDF3ED"/>
              <w:ind w:firstLine="360" w:firstLineChars="200"/>
              <w:rPr>
                <w:b/>
              </w:rPr>
            </w:pPr>
            <w:r>
              <w:rPr>
                <w:rFonts w:ascii="MS Mincho" w:hAnsi="MS Mincho" w:cs="MS Mincho"/>
                <w:b/>
              </w:rPr>
              <w:t>✈</w:t>
            </w:r>
            <w:r>
              <w:rPr>
                <w:rFonts w:hint="eastAsia"/>
                <w:b/>
              </w:rPr>
              <w:t>【教师】提出问题</w:t>
            </w:r>
          </w:p>
          <w:p w14:paraId="3683F14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纳税人出售自有住房并在现住房出售后1年内，在同一城市重新购买住房的，可以申请退还其出售现住房已缴纳的个人所得税吗？</w:t>
            </w:r>
          </w:p>
          <w:p w14:paraId="05D60D1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1FEE6E2F">
            <w:pPr>
              <w:pStyle w:val="4"/>
              <w:shd w:val="clear" w:color="auto" w:fill="FDF3ED"/>
              <w:ind w:firstLine="360" w:firstLineChars="200"/>
              <w:rPr>
                <w:b/>
              </w:rPr>
            </w:pPr>
            <w:r>
              <w:rPr>
                <w:rFonts w:ascii="MS Mincho" w:hAnsi="MS Mincho" w:cs="MS Mincho"/>
                <w:b/>
              </w:rPr>
              <w:t>✈</w:t>
            </w:r>
            <w:r>
              <w:rPr>
                <w:rFonts w:hint="eastAsia"/>
                <w:b/>
              </w:rPr>
              <w:t>【教师】总结学生的回答</w:t>
            </w:r>
          </w:p>
          <w:p w14:paraId="5B8AE9C2">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自2022年10月1日至2023年12月31日，纳税人出售自有住房并在现住房出售后1年内，在同一城市重新购买住房的，可按规定申请退还其出售现住房已缴纳的个人所得税。</w:t>
            </w:r>
          </w:p>
          <w:p w14:paraId="04C4BC5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518451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（14）达到离休、退休年龄，但确因工作需要，适当延长离休、退休年龄的高级专家（指享受国家发放的政府特殊津贴的专家、学者），其在延长离休、退休期间的工资、薪金所得。</w:t>
            </w:r>
          </w:p>
          <w:p w14:paraId="4CBF09B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（15）被拆迁人按照国家有关城镇房屋拆迁管理办法规定的标准取得的拆迁补偿款。</w:t>
            </w:r>
          </w:p>
          <w:p w14:paraId="624AD81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（16）国务院规定的其他免税所得。</w:t>
            </w:r>
          </w:p>
          <w:p w14:paraId="27DA0C84">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（二）减税优惠</w:t>
            </w:r>
          </w:p>
          <w:p w14:paraId="40DA6E4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【教师】讲解个人所得税减免优惠的减税优惠</w:t>
            </w:r>
          </w:p>
          <w:p w14:paraId="7CFA224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有下列情形之一的，可以减征个人所得税。</w:t>
            </w:r>
          </w:p>
          <w:p w14:paraId="380DFAE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（1）残疾、孤老人员和烈属的所得。</w:t>
            </w:r>
          </w:p>
          <w:p w14:paraId="269945E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（2）因自然灾害遭受重大损失的。</w:t>
            </w:r>
          </w:p>
          <w:p w14:paraId="5B4BFBC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国务院可以规定其他减税情形，报全国人民代表大会常务委员会备案。</w:t>
            </w:r>
          </w:p>
          <w:p w14:paraId="69EFAD1C">
            <w:pPr>
              <w:pStyle w:val="4"/>
              <w:shd w:val="clear" w:color="auto" w:fill="FDF3ED"/>
              <w:ind w:firstLine="360" w:firstLineChars="200"/>
              <w:rPr>
                <w:rFonts w:ascii="MS Mincho" w:hAnsi="MS Mincho" w:cs="MS Mincho"/>
                <w:b/>
              </w:rPr>
            </w:pPr>
            <w:r>
              <w:rPr>
                <w:rFonts w:hint="eastAsia"/>
                <w:b/>
              </w:rPr>
              <w:t>【课堂互动】</w:t>
            </w:r>
          </w:p>
          <w:p w14:paraId="53B86204">
            <w:pPr>
              <w:pStyle w:val="4"/>
              <w:shd w:val="clear" w:color="auto" w:fill="FDF3ED"/>
              <w:ind w:firstLine="360" w:firstLineChars="200"/>
              <w:rPr>
                <w:b/>
              </w:rPr>
            </w:pPr>
            <w:r>
              <w:rPr>
                <w:rFonts w:ascii="MS Mincho" w:hAnsi="MS Mincho" w:cs="MS Mincho"/>
                <w:b/>
              </w:rPr>
              <w:t>✈</w:t>
            </w:r>
            <w:r>
              <w:rPr>
                <w:rFonts w:hint="eastAsia"/>
                <w:b/>
              </w:rPr>
              <w:t>【教师】提出问题</w:t>
            </w:r>
          </w:p>
          <w:p w14:paraId="434CACD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个人所得税的减税优惠是如何确定的？</w:t>
            </w:r>
          </w:p>
          <w:p w14:paraId="0804C03E">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5FD97CC4">
            <w:pPr>
              <w:pStyle w:val="4"/>
              <w:shd w:val="clear" w:color="auto" w:fill="FDF3ED"/>
              <w:ind w:firstLine="360" w:firstLineChars="200"/>
              <w:rPr>
                <w:b/>
              </w:rPr>
            </w:pPr>
            <w:r>
              <w:rPr>
                <w:rFonts w:ascii="MS Mincho" w:hAnsi="MS Mincho" w:cs="MS Mincho"/>
                <w:b/>
              </w:rPr>
              <w:t>✈</w:t>
            </w:r>
            <w:r>
              <w:rPr>
                <w:rFonts w:hint="eastAsia"/>
                <w:b/>
              </w:rPr>
              <w:t>【教师】总结学生的回答</w:t>
            </w:r>
          </w:p>
          <w:p w14:paraId="361B010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具体幅度和期限由省、自治区、直辖市人民政府规定，并报同级人民代表大会常务委员会备案。</w:t>
            </w:r>
          </w:p>
          <w:p w14:paraId="4CC00A88">
            <w:pPr>
              <w:pStyle w:val="4"/>
              <w:ind w:left="-168" w:leftChars="-84" w:firstLine="360" w:firstLineChars="200"/>
              <w:rPr>
                <w:rFonts w:hint="eastAsia" w:ascii="微软雅黑" w:hAnsi="微软雅黑"/>
                <w:b/>
                <w:color w:val="833C0B"/>
              </w:rPr>
            </w:pPr>
            <w:r>
              <w:rPr>
                <w:rFonts w:hint="eastAsia" w:ascii="微软雅黑" w:hAnsi="微软雅黑"/>
                <w:b/>
                <w:color w:val="833C0B"/>
              </w:rPr>
              <w:t>【学生】聆听、思考、理解、</w:t>
            </w:r>
            <w:r>
              <w:rPr>
                <w:rFonts w:ascii="微软雅黑" w:hAnsi="微软雅黑"/>
                <w:b/>
                <w:color w:val="833C0B"/>
              </w:rPr>
              <w:t>记录</w:t>
            </w:r>
          </w:p>
        </w:tc>
      </w:tr>
      <w:tr w14:paraId="433ACF1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42F4713">
            <w:pPr>
              <w:pStyle w:val="4"/>
              <w:jc w:val="center"/>
              <w:rPr>
                <w:rFonts w:ascii="微软雅黑" w:hAnsi="微软雅黑"/>
                <w:b/>
              </w:rPr>
            </w:pPr>
            <w:r>
              <w:rPr>
                <w:rFonts w:hint="eastAsia" w:ascii="微软雅黑" w:hAnsi="微软雅黑"/>
                <w:b/>
              </w:rPr>
              <w:t>课堂讨论</w:t>
            </w:r>
          </w:p>
        </w:tc>
        <w:tc>
          <w:tcPr>
            <w:tcW w:w="8363" w:type="dxa"/>
            <w:gridSpan w:val="2"/>
            <w:shd w:val="clear" w:color="auto" w:fill="FFFFFF"/>
            <w:vAlign w:val="center"/>
          </w:tcPr>
          <w:p w14:paraId="37343F4F">
            <w:pPr>
              <w:pStyle w:val="4"/>
              <w:ind w:firstLine="360" w:firstLineChars="200"/>
              <w:rPr>
                <w:rFonts w:ascii="微软雅黑" w:hAnsi="微软雅黑"/>
                <w:b/>
                <w:color w:val="1F4E79"/>
              </w:rPr>
            </w:pPr>
            <w:r>
              <w:rPr>
                <w:rFonts w:hint="eastAsia" w:ascii="微软雅黑" w:hAnsi="微软雅黑"/>
                <w:b/>
                <w:color w:val="1F4E79"/>
              </w:rPr>
              <w:t>【教师】</w:t>
            </w:r>
            <w:r>
              <w:rPr>
                <w:rFonts w:ascii="微软雅黑" w:hAnsi="微软雅黑"/>
                <w:b/>
                <w:color w:val="1F4E79"/>
              </w:rPr>
              <w:t>组织学生以小组为单位</w:t>
            </w:r>
            <w:r>
              <w:rPr>
                <w:rFonts w:hint="eastAsia" w:ascii="微软雅黑" w:hAnsi="微软雅黑"/>
                <w:b/>
                <w:color w:val="1F4E79"/>
              </w:rPr>
              <w:t>讨论以下问题：</w:t>
            </w:r>
          </w:p>
          <w:p w14:paraId="4F425CE2">
            <w:pPr>
              <w:pStyle w:val="4"/>
              <w:ind w:firstLine="360" w:firstLineChars="200"/>
            </w:pPr>
            <w:r>
              <w:rPr>
                <w:rFonts w:hint="eastAsia"/>
              </w:rPr>
              <w:t>（1）如何判定个人所得税的纳税人？</w:t>
            </w:r>
          </w:p>
          <w:p w14:paraId="08162E1F">
            <w:pPr>
              <w:pStyle w:val="4"/>
              <w:ind w:firstLine="360" w:firstLineChars="200"/>
            </w:pPr>
            <w:r>
              <w:rPr>
                <w:rFonts w:hint="eastAsia"/>
              </w:rPr>
              <w:t>（2）个人所得税的征税对象有哪些？</w:t>
            </w:r>
          </w:p>
          <w:p w14:paraId="4A449436">
            <w:pPr>
              <w:pStyle w:val="4"/>
              <w:ind w:left="-168" w:leftChars="-84" w:firstLine="360" w:firstLineChars="200"/>
              <w:rPr>
                <w:rFonts w:ascii="微软雅黑" w:hAnsi="微软雅黑"/>
                <w:b/>
                <w:color w:val="833C0B"/>
              </w:rPr>
            </w:pPr>
            <w:r>
              <w:rPr>
                <w:rFonts w:hint="eastAsia" w:ascii="微软雅黑" w:hAnsi="微软雅黑"/>
                <w:b/>
                <w:color w:val="833C0B"/>
              </w:rPr>
              <w:t>【学生】聆听、思考、讨论，由小组代表上台发表讨论结果</w:t>
            </w:r>
          </w:p>
          <w:p w14:paraId="6BC3E388">
            <w:pPr>
              <w:pStyle w:val="4"/>
              <w:ind w:firstLine="180" w:firstLineChars="100"/>
            </w:pPr>
            <w:r>
              <w:rPr>
                <w:rFonts w:hint="eastAsia" w:ascii="微软雅黑" w:hAnsi="微软雅黑"/>
                <w:b/>
                <w:color w:val="1F4E79"/>
              </w:rPr>
              <w:t>【教师】评价并总结</w:t>
            </w:r>
            <w:r>
              <w:rPr>
                <w:rFonts w:ascii="微软雅黑" w:hAnsi="微软雅黑"/>
                <w:b/>
                <w:color w:val="1F4E79"/>
              </w:rPr>
              <w:t>学生的回答</w:t>
            </w:r>
          </w:p>
        </w:tc>
      </w:tr>
      <w:tr w14:paraId="0CA74A9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88784A9">
            <w:pPr>
              <w:pStyle w:val="4"/>
              <w:jc w:val="center"/>
            </w:pPr>
            <w:r>
              <w:rPr>
                <w:rFonts w:hint="eastAsia" w:ascii="微软雅黑" w:hAnsi="微软雅黑"/>
                <w:b/>
              </w:rPr>
              <w:t>课堂小结</w:t>
            </w:r>
          </w:p>
        </w:tc>
        <w:tc>
          <w:tcPr>
            <w:tcW w:w="8363" w:type="dxa"/>
            <w:gridSpan w:val="2"/>
            <w:shd w:val="clear" w:color="auto" w:fill="FFFFFF"/>
            <w:vAlign w:val="center"/>
          </w:tcPr>
          <w:p w14:paraId="6E7EC5BA">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658656D8">
            <w:pPr>
              <w:pStyle w:val="4"/>
              <w:ind w:firstLine="360" w:firstLineChars="200"/>
            </w:pPr>
            <w:r>
              <w:rPr>
                <w:rFonts w:hint="eastAsia"/>
              </w:rPr>
              <w:t>个人所得税的纳税人</w:t>
            </w:r>
          </w:p>
          <w:p w14:paraId="6D952FD1">
            <w:pPr>
              <w:pStyle w:val="4"/>
              <w:ind w:firstLine="360" w:firstLineChars="200"/>
            </w:pPr>
            <w:r>
              <w:t>个人所得税的征税对象</w:t>
            </w:r>
          </w:p>
          <w:p w14:paraId="18BC0C8D">
            <w:pPr>
              <w:pStyle w:val="4"/>
              <w:ind w:firstLine="360" w:firstLineChars="200"/>
            </w:pPr>
            <w:r>
              <w:t>个人所得税的税率和减免优惠</w:t>
            </w:r>
          </w:p>
          <w:p w14:paraId="16C7D215">
            <w:pPr>
              <w:pStyle w:val="4"/>
              <w:ind w:firstLine="180" w:firstLineChars="100"/>
            </w:pPr>
            <w:r>
              <w:rPr>
                <w:rFonts w:hint="eastAsia" w:ascii="微软雅黑" w:hAnsi="微软雅黑"/>
                <w:b/>
                <w:color w:val="833C0B"/>
              </w:rPr>
              <w:t>【学生】总结回顾知识点</w:t>
            </w:r>
          </w:p>
        </w:tc>
      </w:tr>
      <w:tr w14:paraId="31F6DCE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2D4A78E">
            <w:pPr>
              <w:pStyle w:val="4"/>
              <w:jc w:val="center"/>
            </w:pPr>
            <w:r>
              <w:rPr>
                <w:rFonts w:hint="eastAsia" w:ascii="微软雅黑" w:hAnsi="微软雅黑"/>
                <w:b/>
              </w:rPr>
              <w:t>作业布置</w:t>
            </w:r>
          </w:p>
        </w:tc>
        <w:tc>
          <w:tcPr>
            <w:tcW w:w="8363" w:type="dxa"/>
            <w:gridSpan w:val="2"/>
            <w:shd w:val="clear" w:color="auto" w:fill="FFFFFF"/>
            <w:vAlign w:val="center"/>
          </w:tcPr>
          <w:p w14:paraId="1E475DE6">
            <w:pPr>
              <w:pStyle w:val="4"/>
              <w:ind w:left="200" w:leftChars="100"/>
              <w:rPr>
                <w:rFonts w:ascii="微软雅黑" w:hAnsi="微软雅黑"/>
                <w:b/>
                <w:color w:val="1F4E79"/>
              </w:rPr>
            </w:pPr>
            <w:r>
              <w:rPr>
                <w:rFonts w:hint="eastAsia" w:ascii="微软雅黑" w:hAnsi="微软雅黑"/>
                <w:b/>
                <w:color w:val="1F4E79"/>
              </w:rPr>
              <w:t>【教师】布置课后作业</w:t>
            </w:r>
          </w:p>
          <w:p w14:paraId="50E22F25">
            <w:pPr>
              <w:pStyle w:val="4"/>
              <w:ind w:firstLine="360" w:firstLineChars="200"/>
              <w:jc w:val="both"/>
            </w:pPr>
            <w:r>
              <w:rPr>
                <w:rFonts w:hint="eastAsia"/>
                <w:lang w:val="en-US" w:eastAsia="zh-CN"/>
              </w:rPr>
              <w:t>见配套习题与实训</w:t>
            </w:r>
          </w:p>
          <w:p w14:paraId="640B0C2E">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190F14D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3EDDE80F">
            <w:pPr>
              <w:pStyle w:val="4"/>
              <w:jc w:val="center"/>
            </w:pPr>
            <w:r>
              <w:rPr>
                <w:rFonts w:hint="eastAsia" w:ascii="微软雅黑" w:hAnsi="微软雅黑"/>
                <w:b/>
              </w:rPr>
              <w:t>教学反思</w:t>
            </w:r>
          </w:p>
        </w:tc>
        <w:tc>
          <w:tcPr>
            <w:tcW w:w="8363" w:type="dxa"/>
            <w:gridSpan w:val="2"/>
            <w:shd w:val="clear" w:color="auto" w:fill="FFFFFF"/>
            <w:vAlign w:val="center"/>
          </w:tcPr>
          <w:p w14:paraId="1C18215F">
            <w:pPr>
              <w:pStyle w:val="4"/>
              <w:ind w:firstLine="360" w:firstLineChars="200"/>
            </w:pPr>
          </w:p>
          <w:p w14:paraId="2E9C5E5A">
            <w:pPr>
              <w:pStyle w:val="4"/>
              <w:ind w:firstLine="360" w:firstLineChars="200"/>
            </w:pPr>
          </w:p>
          <w:p w14:paraId="3BF42F85">
            <w:pPr>
              <w:pStyle w:val="4"/>
              <w:ind w:firstLine="360" w:firstLineChars="200"/>
            </w:pPr>
          </w:p>
          <w:p w14:paraId="7CE3985F">
            <w:pPr>
              <w:pStyle w:val="4"/>
              <w:ind w:firstLine="360" w:firstLineChars="200"/>
            </w:pPr>
          </w:p>
        </w:tc>
      </w:tr>
    </w:tbl>
    <w:p w14:paraId="4CFE8B5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01FBB"/>
    <w:multiLevelType w:val="multilevel"/>
    <w:tmpl w:val="48C01FBB"/>
    <w:lvl w:ilvl="0" w:tentative="0">
      <w:start w:val="1"/>
      <w:numFmt w:val="japaneseCounting"/>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52F07B40"/>
    <w:multiLevelType w:val="multilevel"/>
    <w:tmpl w:val="52F07B40"/>
    <w:lvl w:ilvl="0" w:tentative="0">
      <w:start w:val="1"/>
      <w:numFmt w:val="japaneseCounting"/>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665AE7"/>
    <w:rsid w:val="4DA13D23"/>
    <w:rsid w:val="7CC23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4238</Words>
  <Characters>4402</Characters>
  <Lines>0</Lines>
  <Paragraphs>0</Paragraphs>
  <TotalTime>10</TotalTime>
  <ScaleCrop>false</ScaleCrop>
  <LinksUpToDate>false</LinksUpToDate>
  <CharactersWithSpaces>4444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2025-02-13T05:46:00Z</dcterms:created>
  <dc:creator>admin</dc:creator>
  <cp:lastModifiedBy>星回°</cp:lastModifiedBy>
  <dcterms:modified xsi:type="dcterms:W3CDTF">2025-03-04T10:56:28Z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628B3B16D9B44234A33CDCA8781A6B93_12</vt:lpwstr>
  </property>
</Properties>
</file>